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FB6D" w14:textId="1B29BE02" w:rsidR="008A2777" w:rsidRPr="00EF48E5" w:rsidRDefault="008A2777" w:rsidP="008A2777">
      <w:pPr>
        <w:jc w:val="right"/>
        <w:rPr>
          <w:b/>
          <w:bCs/>
          <w:lang w:val="es-419"/>
        </w:rPr>
      </w:pPr>
      <w:r w:rsidRPr="00EF48E5">
        <w:rPr>
          <w:noProof/>
          <w:lang w:val="es-419"/>
        </w:rPr>
        <w:drawing>
          <wp:inline distT="0" distB="0" distL="0" distR="0" wp14:anchorId="2B0B23F8" wp14:editId="488115AF">
            <wp:extent cx="2203450" cy="730250"/>
            <wp:effectExtent l="0" t="0" r="635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450" cy="730250"/>
                    </a:xfrm>
                    <a:prstGeom prst="rect">
                      <a:avLst/>
                    </a:prstGeom>
                    <a:noFill/>
                    <a:ln>
                      <a:noFill/>
                    </a:ln>
                  </pic:spPr>
                </pic:pic>
              </a:graphicData>
            </a:graphic>
          </wp:inline>
        </w:drawing>
      </w:r>
    </w:p>
    <w:p w14:paraId="7217446F" w14:textId="77777777" w:rsidR="008A2777" w:rsidRPr="00EF48E5" w:rsidRDefault="008A2777" w:rsidP="008A2777">
      <w:pPr>
        <w:jc w:val="center"/>
        <w:rPr>
          <w:rFonts w:ascii="Times New Roman" w:hAnsi="Times New Roman"/>
          <w:b/>
          <w:bCs/>
          <w:sz w:val="28"/>
          <w:szCs w:val="28"/>
          <w:lang w:val="es-419"/>
        </w:rPr>
      </w:pPr>
    </w:p>
    <w:p w14:paraId="01A94D3D" w14:textId="77777777" w:rsidR="008A2777" w:rsidRPr="00EF48E5" w:rsidRDefault="008A2777" w:rsidP="008A2777">
      <w:pPr>
        <w:jc w:val="center"/>
        <w:rPr>
          <w:rFonts w:cstheme="minorHAnsi"/>
          <w:b/>
          <w:bCs/>
          <w:sz w:val="28"/>
          <w:szCs w:val="28"/>
          <w:lang w:val="es-419"/>
        </w:rPr>
      </w:pPr>
    </w:p>
    <w:p w14:paraId="5704DAD3" w14:textId="77777777" w:rsidR="008A2777" w:rsidRPr="00EF48E5" w:rsidRDefault="008A2777" w:rsidP="008A2777">
      <w:pPr>
        <w:spacing w:after="0"/>
        <w:jc w:val="center"/>
        <w:rPr>
          <w:rFonts w:cstheme="minorHAnsi"/>
          <w:b/>
          <w:bCs/>
          <w:sz w:val="28"/>
          <w:szCs w:val="28"/>
          <w:lang w:val="es-419"/>
        </w:rPr>
      </w:pPr>
    </w:p>
    <w:p w14:paraId="704BBD4C" w14:textId="77777777" w:rsidR="008A2777" w:rsidRPr="00EF48E5" w:rsidRDefault="008A2777" w:rsidP="008A2777">
      <w:pPr>
        <w:spacing w:after="0"/>
        <w:jc w:val="center"/>
        <w:rPr>
          <w:rFonts w:cstheme="minorHAnsi"/>
          <w:b/>
          <w:bCs/>
          <w:sz w:val="28"/>
          <w:szCs w:val="28"/>
          <w:lang w:val="es-419"/>
        </w:rPr>
      </w:pPr>
    </w:p>
    <w:p w14:paraId="24AA0073" w14:textId="77777777" w:rsidR="008A2777" w:rsidRPr="00EF48E5" w:rsidRDefault="008A2777" w:rsidP="008A2777">
      <w:pPr>
        <w:spacing w:after="0"/>
        <w:jc w:val="center"/>
        <w:rPr>
          <w:rFonts w:cstheme="minorHAnsi"/>
          <w:b/>
          <w:bCs/>
          <w:sz w:val="28"/>
          <w:szCs w:val="28"/>
          <w:lang w:val="es-419"/>
        </w:rPr>
      </w:pPr>
      <w:r w:rsidRPr="00EF48E5">
        <w:rPr>
          <w:rFonts w:cstheme="minorHAnsi"/>
          <w:b/>
          <w:bCs/>
          <w:sz w:val="28"/>
          <w:szCs w:val="28"/>
          <w:lang w:val="es-419"/>
        </w:rPr>
        <w:t>Plan de participación de las partes interesadas</w:t>
      </w:r>
    </w:p>
    <w:p w14:paraId="28E00EBA" w14:textId="77777777" w:rsidR="008A2777" w:rsidRPr="00EF48E5" w:rsidRDefault="008A2777" w:rsidP="008A2777">
      <w:pPr>
        <w:spacing w:after="0"/>
        <w:jc w:val="center"/>
        <w:rPr>
          <w:rFonts w:cstheme="minorHAnsi"/>
          <w:b/>
          <w:bCs/>
          <w:lang w:val="es-419"/>
        </w:rPr>
      </w:pPr>
    </w:p>
    <w:p w14:paraId="36A1ABF8" w14:textId="0C4C42A4" w:rsidR="008A2777" w:rsidRPr="00EF48E5" w:rsidRDefault="008A2777" w:rsidP="008A2777">
      <w:pPr>
        <w:spacing w:after="0"/>
        <w:jc w:val="center"/>
        <w:rPr>
          <w:rFonts w:cstheme="minorHAnsi"/>
          <w:b/>
          <w:bCs/>
          <w:lang w:val="es-419"/>
        </w:rPr>
      </w:pPr>
      <w:r w:rsidRPr="00EF48E5">
        <w:rPr>
          <w:rFonts w:cstheme="minorHAnsi"/>
          <w:b/>
          <w:bCs/>
          <w:lang w:val="es-419"/>
        </w:rPr>
        <w:t>30 de junio de 2021</w:t>
      </w:r>
    </w:p>
    <w:p w14:paraId="734F1DFC" w14:textId="77777777" w:rsidR="008A2777" w:rsidRPr="00EF48E5" w:rsidRDefault="008A2777" w:rsidP="008A2777">
      <w:pPr>
        <w:spacing w:after="0"/>
        <w:jc w:val="center"/>
        <w:rPr>
          <w:rFonts w:cstheme="minorHAnsi"/>
          <w:b/>
          <w:bCs/>
          <w:lang w:val="es-419"/>
        </w:rPr>
      </w:pPr>
    </w:p>
    <w:p w14:paraId="3D3E4508" w14:textId="29FA660D" w:rsidR="008A2777" w:rsidRPr="00EF48E5" w:rsidRDefault="00356767" w:rsidP="008A2777">
      <w:pPr>
        <w:spacing w:after="0"/>
        <w:jc w:val="center"/>
        <w:rPr>
          <w:rFonts w:cstheme="minorHAnsi"/>
          <w:b/>
          <w:bCs/>
          <w:lang w:val="es-419"/>
        </w:rPr>
      </w:pPr>
      <w:r w:rsidRPr="00EF48E5">
        <w:rPr>
          <w:rFonts w:cstheme="minorHAnsi"/>
          <w:b/>
          <w:bCs/>
          <w:lang w:val="es-419"/>
        </w:rPr>
        <w:t xml:space="preserve">Subvención </w:t>
      </w:r>
      <w:r w:rsidR="008A2777" w:rsidRPr="00EF48E5">
        <w:rPr>
          <w:rFonts w:cstheme="minorHAnsi"/>
          <w:b/>
          <w:bCs/>
          <w:lang w:val="es-419"/>
        </w:rPr>
        <w:t>CEPF 111490</w:t>
      </w:r>
    </w:p>
    <w:p w14:paraId="18EB20BF" w14:textId="77777777" w:rsidR="008A2777" w:rsidRPr="00EF48E5" w:rsidRDefault="008A2777" w:rsidP="008A2777">
      <w:pPr>
        <w:spacing w:after="0"/>
        <w:jc w:val="center"/>
        <w:rPr>
          <w:rFonts w:cstheme="minorHAnsi"/>
          <w:b/>
          <w:bCs/>
          <w:lang w:val="es-419"/>
        </w:rPr>
      </w:pPr>
    </w:p>
    <w:p w14:paraId="0F53F4E4" w14:textId="7639B404" w:rsidR="008A2777" w:rsidRPr="00EF48E5" w:rsidRDefault="008A2777" w:rsidP="008A2777">
      <w:pPr>
        <w:spacing w:after="0"/>
        <w:jc w:val="center"/>
        <w:rPr>
          <w:rFonts w:cstheme="minorHAnsi"/>
          <w:b/>
          <w:bCs/>
          <w:lang w:val="es-419"/>
        </w:rPr>
      </w:pPr>
      <w:r w:rsidRPr="00EF48E5">
        <w:rPr>
          <w:rFonts w:cstheme="minorHAnsi"/>
          <w:b/>
          <w:bCs/>
          <w:lang w:val="es-419"/>
        </w:rPr>
        <w:t>Instituto de Recursos Naturales del Caribe (CANARI)</w:t>
      </w:r>
    </w:p>
    <w:p w14:paraId="1EBC0740" w14:textId="2E6ED73A" w:rsidR="008A2777" w:rsidRPr="00EF48E5" w:rsidRDefault="008A2777" w:rsidP="008A2777">
      <w:pPr>
        <w:spacing w:after="0"/>
        <w:jc w:val="center"/>
        <w:rPr>
          <w:rFonts w:cstheme="minorHAnsi"/>
          <w:b/>
          <w:bCs/>
          <w:lang w:val="es-419"/>
        </w:rPr>
      </w:pPr>
    </w:p>
    <w:p w14:paraId="6D438FA7" w14:textId="5AF1B0C0" w:rsidR="008A2777" w:rsidRPr="00EF48E5" w:rsidRDefault="008A2777" w:rsidP="008A2777">
      <w:pPr>
        <w:spacing w:after="0"/>
        <w:jc w:val="center"/>
        <w:rPr>
          <w:rFonts w:cstheme="minorHAnsi"/>
          <w:b/>
          <w:bCs/>
          <w:lang w:val="es-419"/>
        </w:rPr>
      </w:pPr>
      <w:r w:rsidRPr="00EF48E5">
        <w:rPr>
          <w:rFonts w:cstheme="minorHAnsi"/>
          <w:b/>
          <w:bCs/>
          <w:lang w:val="es-419"/>
        </w:rPr>
        <w:t xml:space="preserve">Equipo Regional de Implementación del CEPF para el </w:t>
      </w:r>
      <w:proofErr w:type="spellStart"/>
      <w:r w:rsidRPr="00EF48E5">
        <w:rPr>
          <w:rFonts w:cstheme="minorHAnsi"/>
          <w:b/>
          <w:bCs/>
          <w:lang w:val="es-419"/>
        </w:rPr>
        <w:t>Hotspot</w:t>
      </w:r>
      <w:proofErr w:type="spellEnd"/>
      <w:r w:rsidRPr="00EF48E5">
        <w:rPr>
          <w:rFonts w:cstheme="minorHAnsi"/>
          <w:b/>
          <w:bCs/>
          <w:lang w:val="es-419"/>
        </w:rPr>
        <w:t xml:space="preserve"> de Biodiversidad de las Islas del Caribe</w:t>
      </w:r>
    </w:p>
    <w:p w14:paraId="22E67678" w14:textId="77777777" w:rsidR="008A2777" w:rsidRPr="00EF48E5" w:rsidRDefault="008A2777" w:rsidP="008A2777">
      <w:pPr>
        <w:spacing w:after="0"/>
        <w:jc w:val="center"/>
        <w:rPr>
          <w:rFonts w:cstheme="minorHAnsi"/>
          <w:b/>
          <w:bCs/>
          <w:lang w:val="es-419"/>
        </w:rPr>
      </w:pPr>
    </w:p>
    <w:p w14:paraId="12A0FDE4" w14:textId="77777777" w:rsidR="008A2777" w:rsidRPr="00EF48E5" w:rsidRDefault="008A2777" w:rsidP="008A2777">
      <w:pPr>
        <w:rPr>
          <w:lang w:val="es-419"/>
        </w:rPr>
      </w:pPr>
    </w:p>
    <w:p w14:paraId="1B9B5EAB" w14:textId="77777777" w:rsidR="003D2806" w:rsidRPr="00EF48E5" w:rsidRDefault="008A2777" w:rsidP="008A2777">
      <w:pPr>
        <w:jc w:val="both"/>
        <w:rPr>
          <w:rFonts w:cstheme="minorHAnsi"/>
          <w:b/>
          <w:bCs/>
          <w:iCs/>
          <w:lang w:val="es-419"/>
        </w:rPr>
      </w:pPr>
      <w:r w:rsidRPr="00EF48E5">
        <w:rPr>
          <w:lang w:val="es-419"/>
        </w:rPr>
        <w:br w:type="column"/>
      </w:r>
    </w:p>
    <w:sdt>
      <w:sdtPr>
        <w:rPr>
          <w:rFonts w:eastAsiaTheme="minorHAnsi" w:cstheme="minorBidi"/>
          <w:b w:val="0"/>
          <w:szCs w:val="22"/>
          <w:lang w:val="es-419"/>
        </w:rPr>
        <w:id w:val="645324253"/>
        <w:docPartObj>
          <w:docPartGallery w:val="Table of Contents"/>
          <w:docPartUnique/>
        </w:docPartObj>
      </w:sdtPr>
      <w:sdtEndPr>
        <w:rPr>
          <w:bCs/>
        </w:rPr>
      </w:sdtEndPr>
      <w:sdtContent>
        <w:p w14:paraId="328B9219" w14:textId="24FCD9C8" w:rsidR="003D2806" w:rsidRPr="00EF48E5" w:rsidRDefault="003D2806">
          <w:pPr>
            <w:pStyle w:val="TOCHeading"/>
            <w:rPr>
              <w:lang w:val="es-419"/>
            </w:rPr>
          </w:pPr>
          <w:r w:rsidRPr="00EF48E5">
            <w:rPr>
              <w:lang w:val="es-419"/>
            </w:rPr>
            <w:t>Contenido</w:t>
          </w:r>
        </w:p>
        <w:p w14:paraId="094F0201" w14:textId="1B8B4EDC" w:rsidR="004322EE" w:rsidRDefault="003D2806">
          <w:pPr>
            <w:pStyle w:val="TOC1"/>
            <w:tabs>
              <w:tab w:val="left" w:pos="440"/>
              <w:tab w:val="right" w:leader="dot" w:pos="9350"/>
            </w:tabs>
            <w:rPr>
              <w:rFonts w:eastAsiaTheme="minorEastAsia"/>
              <w:noProof/>
              <w:lang w:val="en-US"/>
            </w:rPr>
          </w:pPr>
          <w:r w:rsidRPr="00EF48E5">
            <w:rPr>
              <w:lang w:val="es-419"/>
            </w:rPr>
            <w:fldChar w:fldCharType="begin"/>
          </w:r>
          <w:r w:rsidRPr="00EF48E5">
            <w:rPr>
              <w:lang w:val="es-419"/>
            </w:rPr>
            <w:instrText xml:space="preserve"> TOC \o "1-3" \h \z \u </w:instrText>
          </w:r>
          <w:r w:rsidRPr="00EF48E5">
            <w:rPr>
              <w:lang w:val="es-419"/>
            </w:rPr>
            <w:fldChar w:fldCharType="separate"/>
          </w:r>
          <w:hyperlink w:anchor="_Toc100398985" w:history="1">
            <w:r w:rsidR="004322EE" w:rsidRPr="008940EA">
              <w:rPr>
                <w:rStyle w:val="Hyperlink"/>
                <w:rFonts w:cs="Times New Roman"/>
                <w:bCs/>
                <w:iCs/>
                <w:noProof/>
                <w:lang w:val="es-419"/>
              </w:rPr>
              <w:t>1.</w:t>
            </w:r>
            <w:r w:rsidR="004322EE">
              <w:rPr>
                <w:rFonts w:eastAsiaTheme="minorEastAsia"/>
                <w:noProof/>
                <w:lang w:val="en-US"/>
              </w:rPr>
              <w:tab/>
            </w:r>
            <w:r w:rsidR="004322EE" w:rsidRPr="008940EA">
              <w:rPr>
                <w:rStyle w:val="Hyperlink"/>
                <w:noProof/>
                <w:lang w:val="es-419"/>
              </w:rPr>
              <w:t>Organización beneficiaria</w:t>
            </w:r>
            <w:r w:rsidR="004322EE">
              <w:rPr>
                <w:noProof/>
                <w:webHidden/>
              </w:rPr>
              <w:tab/>
            </w:r>
            <w:r w:rsidR="004322EE">
              <w:rPr>
                <w:noProof/>
                <w:webHidden/>
              </w:rPr>
              <w:fldChar w:fldCharType="begin"/>
            </w:r>
            <w:r w:rsidR="004322EE">
              <w:rPr>
                <w:noProof/>
                <w:webHidden/>
              </w:rPr>
              <w:instrText xml:space="preserve"> PAGEREF _Toc100398985 \h </w:instrText>
            </w:r>
            <w:r w:rsidR="004322EE">
              <w:rPr>
                <w:noProof/>
                <w:webHidden/>
              </w:rPr>
            </w:r>
            <w:r w:rsidR="004322EE">
              <w:rPr>
                <w:noProof/>
                <w:webHidden/>
              </w:rPr>
              <w:fldChar w:fldCharType="separate"/>
            </w:r>
            <w:r w:rsidR="008A2DA2">
              <w:rPr>
                <w:noProof/>
                <w:webHidden/>
              </w:rPr>
              <w:t>3</w:t>
            </w:r>
            <w:r w:rsidR="004322EE">
              <w:rPr>
                <w:noProof/>
                <w:webHidden/>
              </w:rPr>
              <w:fldChar w:fldCharType="end"/>
            </w:r>
          </w:hyperlink>
        </w:p>
        <w:p w14:paraId="370C87DA" w14:textId="4C4B3A15" w:rsidR="004322EE" w:rsidRDefault="00D462A8">
          <w:pPr>
            <w:pStyle w:val="TOC1"/>
            <w:tabs>
              <w:tab w:val="left" w:pos="440"/>
              <w:tab w:val="right" w:leader="dot" w:pos="9350"/>
            </w:tabs>
            <w:rPr>
              <w:rFonts w:eastAsiaTheme="minorEastAsia"/>
              <w:noProof/>
              <w:lang w:val="en-US"/>
            </w:rPr>
          </w:pPr>
          <w:hyperlink w:anchor="_Toc100398986" w:history="1">
            <w:r w:rsidR="004322EE" w:rsidRPr="008940EA">
              <w:rPr>
                <w:rStyle w:val="Hyperlink"/>
                <w:rFonts w:cs="Times New Roman"/>
                <w:bCs/>
                <w:iCs/>
                <w:noProof/>
                <w:lang w:val="es-419"/>
              </w:rPr>
              <w:t>2.</w:t>
            </w:r>
            <w:r w:rsidR="004322EE">
              <w:rPr>
                <w:rFonts w:eastAsiaTheme="minorEastAsia"/>
                <w:noProof/>
                <w:lang w:val="en-US"/>
              </w:rPr>
              <w:tab/>
            </w:r>
            <w:r w:rsidR="004322EE" w:rsidRPr="008940EA">
              <w:rPr>
                <w:rStyle w:val="Hyperlink"/>
                <w:noProof/>
                <w:lang w:val="es-419"/>
              </w:rPr>
              <w:t>Título del subproyecto</w:t>
            </w:r>
            <w:r w:rsidR="004322EE">
              <w:rPr>
                <w:noProof/>
                <w:webHidden/>
              </w:rPr>
              <w:tab/>
            </w:r>
            <w:r w:rsidR="004322EE">
              <w:rPr>
                <w:noProof/>
                <w:webHidden/>
              </w:rPr>
              <w:fldChar w:fldCharType="begin"/>
            </w:r>
            <w:r w:rsidR="004322EE">
              <w:rPr>
                <w:noProof/>
                <w:webHidden/>
              </w:rPr>
              <w:instrText xml:space="preserve"> PAGEREF _Toc100398986 \h </w:instrText>
            </w:r>
            <w:r w:rsidR="004322EE">
              <w:rPr>
                <w:noProof/>
                <w:webHidden/>
              </w:rPr>
            </w:r>
            <w:r w:rsidR="004322EE">
              <w:rPr>
                <w:noProof/>
                <w:webHidden/>
              </w:rPr>
              <w:fldChar w:fldCharType="separate"/>
            </w:r>
            <w:r w:rsidR="008A2DA2">
              <w:rPr>
                <w:noProof/>
                <w:webHidden/>
              </w:rPr>
              <w:t>3</w:t>
            </w:r>
            <w:r w:rsidR="004322EE">
              <w:rPr>
                <w:noProof/>
                <w:webHidden/>
              </w:rPr>
              <w:fldChar w:fldCharType="end"/>
            </w:r>
          </w:hyperlink>
        </w:p>
        <w:p w14:paraId="76C48577" w14:textId="0709D600" w:rsidR="004322EE" w:rsidRDefault="00D462A8">
          <w:pPr>
            <w:pStyle w:val="TOC1"/>
            <w:tabs>
              <w:tab w:val="left" w:pos="440"/>
              <w:tab w:val="right" w:leader="dot" w:pos="9350"/>
            </w:tabs>
            <w:rPr>
              <w:rFonts w:eastAsiaTheme="minorEastAsia"/>
              <w:noProof/>
              <w:lang w:val="en-US"/>
            </w:rPr>
          </w:pPr>
          <w:hyperlink w:anchor="_Toc100398987" w:history="1">
            <w:r w:rsidR="004322EE" w:rsidRPr="008940EA">
              <w:rPr>
                <w:rStyle w:val="Hyperlink"/>
                <w:rFonts w:cs="Times New Roman"/>
                <w:noProof/>
                <w:lang w:val="es-419"/>
              </w:rPr>
              <w:t>3.</w:t>
            </w:r>
            <w:r w:rsidR="004322EE">
              <w:rPr>
                <w:rFonts w:eastAsiaTheme="minorEastAsia"/>
                <w:noProof/>
                <w:lang w:val="en-US"/>
              </w:rPr>
              <w:tab/>
            </w:r>
            <w:r w:rsidR="004322EE" w:rsidRPr="008940EA">
              <w:rPr>
                <w:rStyle w:val="Hyperlink"/>
                <w:noProof/>
                <w:lang w:val="es-419"/>
              </w:rPr>
              <w:t>Número de concesión</w:t>
            </w:r>
            <w:r w:rsidR="004322EE">
              <w:rPr>
                <w:noProof/>
                <w:webHidden/>
              </w:rPr>
              <w:tab/>
            </w:r>
            <w:r w:rsidR="004322EE">
              <w:rPr>
                <w:noProof/>
                <w:webHidden/>
              </w:rPr>
              <w:fldChar w:fldCharType="begin"/>
            </w:r>
            <w:r w:rsidR="004322EE">
              <w:rPr>
                <w:noProof/>
                <w:webHidden/>
              </w:rPr>
              <w:instrText xml:space="preserve"> PAGEREF _Toc100398987 \h </w:instrText>
            </w:r>
            <w:r w:rsidR="004322EE">
              <w:rPr>
                <w:noProof/>
                <w:webHidden/>
              </w:rPr>
            </w:r>
            <w:r w:rsidR="004322EE">
              <w:rPr>
                <w:noProof/>
                <w:webHidden/>
              </w:rPr>
              <w:fldChar w:fldCharType="separate"/>
            </w:r>
            <w:r w:rsidR="008A2DA2">
              <w:rPr>
                <w:noProof/>
                <w:webHidden/>
              </w:rPr>
              <w:t>3</w:t>
            </w:r>
            <w:r w:rsidR="004322EE">
              <w:rPr>
                <w:noProof/>
                <w:webHidden/>
              </w:rPr>
              <w:fldChar w:fldCharType="end"/>
            </w:r>
          </w:hyperlink>
        </w:p>
        <w:p w14:paraId="6C412D2D" w14:textId="47948981" w:rsidR="004322EE" w:rsidRDefault="00D462A8">
          <w:pPr>
            <w:pStyle w:val="TOC1"/>
            <w:tabs>
              <w:tab w:val="left" w:pos="440"/>
              <w:tab w:val="right" w:leader="dot" w:pos="9350"/>
            </w:tabs>
            <w:rPr>
              <w:rFonts w:eastAsiaTheme="minorEastAsia"/>
              <w:noProof/>
              <w:lang w:val="en-US"/>
            </w:rPr>
          </w:pPr>
          <w:hyperlink w:anchor="_Toc100398988" w:history="1">
            <w:r w:rsidR="004322EE" w:rsidRPr="008940EA">
              <w:rPr>
                <w:rStyle w:val="Hyperlink"/>
                <w:rFonts w:cs="Times New Roman"/>
                <w:noProof/>
                <w:lang w:val="es-419"/>
              </w:rPr>
              <w:t>4.</w:t>
            </w:r>
            <w:r w:rsidR="004322EE">
              <w:rPr>
                <w:rFonts w:eastAsiaTheme="minorEastAsia"/>
                <w:noProof/>
                <w:lang w:val="en-US"/>
              </w:rPr>
              <w:tab/>
            </w:r>
            <w:r w:rsidR="004322EE" w:rsidRPr="008940EA">
              <w:rPr>
                <w:rStyle w:val="Hyperlink"/>
                <w:noProof/>
                <w:lang w:val="es-419"/>
              </w:rPr>
              <w:t>Monto de la subvención</w:t>
            </w:r>
            <w:r w:rsidR="004322EE">
              <w:rPr>
                <w:noProof/>
                <w:webHidden/>
              </w:rPr>
              <w:tab/>
            </w:r>
            <w:r w:rsidR="004322EE">
              <w:rPr>
                <w:noProof/>
                <w:webHidden/>
              </w:rPr>
              <w:fldChar w:fldCharType="begin"/>
            </w:r>
            <w:r w:rsidR="004322EE">
              <w:rPr>
                <w:noProof/>
                <w:webHidden/>
              </w:rPr>
              <w:instrText xml:space="preserve"> PAGEREF _Toc100398988 \h </w:instrText>
            </w:r>
            <w:r w:rsidR="004322EE">
              <w:rPr>
                <w:noProof/>
                <w:webHidden/>
              </w:rPr>
            </w:r>
            <w:r w:rsidR="004322EE">
              <w:rPr>
                <w:noProof/>
                <w:webHidden/>
              </w:rPr>
              <w:fldChar w:fldCharType="separate"/>
            </w:r>
            <w:r w:rsidR="008A2DA2">
              <w:rPr>
                <w:noProof/>
                <w:webHidden/>
              </w:rPr>
              <w:t>3</w:t>
            </w:r>
            <w:r w:rsidR="004322EE">
              <w:rPr>
                <w:noProof/>
                <w:webHidden/>
              </w:rPr>
              <w:fldChar w:fldCharType="end"/>
            </w:r>
          </w:hyperlink>
        </w:p>
        <w:p w14:paraId="1B6EF66F" w14:textId="534B3136" w:rsidR="004322EE" w:rsidRDefault="00D462A8">
          <w:pPr>
            <w:pStyle w:val="TOC1"/>
            <w:tabs>
              <w:tab w:val="left" w:pos="440"/>
              <w:tab w:val="right" w:leader="dot" w:pos="9350"/>
            </w:tabs>
            <w:rPr>
              <w:rFonts w:eastAsiaTheme="minorEastAsia"/>
              <w:noProof/>
              <w:lang w:val="en-US"/>
            </w:rPr>
          </w:pPr>
          <w:hyperlink w:anchor="_Toc100398989" w:history="1">
            <w:r w:rsidR="004322EE" w:rsidRPr="008940EA">
              <w:rPr>
                <w:rStyle w:val="Hyperlink"/>
                <w:rFonts w:cs="Times New Roman"/>
                <w:noProof/>
                <w:lang w:val="es-419"/>
              </w:rPr>
              <w:t>5.</w:t>
            </w:r>
            <w:r w:rsidR="004322EE">
              <w:rPr>
                <w:rFonts w:eastAsiaTheme="minorEastAsia"/>
                <w:noProof/>
                <w:lang w:val="en-US"/>
              </w:rPr>
              <w:tab/>
            </w:r>
            <w:r w:rsidR="004322EE" w:rsidRPr="008940EA">
              <w:rPr>
                <w:rStyle w:val="Hyperlink"/>
                <w:noProof/>
                <w:lang w:val="es-419"/>
              </w:rPr>
              <w:t>Fechas propuestas de concesión</w:t>
            </w:r>
            <w:r w:rsidR="004322EE">
              <w:rPr>
                <w:noProof/>
                <w:webHidden/>
              </w:rPr>
              <w:tab/>
            </w:r>
            <w:r w:rsidR="004322EE">
              <w:rPr>
                <w:noProof/>
                <w:webHidden/>
              </w:rPr>
              <w:fldChar w:fldCharType="begin"/>
            </w:r>
            <w:r w:rsidR="004322EE">
              <w:rPr>
                <w:noProof/>
                <w:webHidden/>
              </w:rPr>
              <w:instrText xml:space="preserve"> PAGEREF _Toc100398989 \h </w:instrText>
            </w:r>
            <w:r w:rsidR="004322EE">
              <w:rPr>
                <w:noProof/>
                <w:webHidden/>
              </w:rPr>
            </w:r>
            <w:r w:rsidR="004322EE">
              <w:rPr>
                <w:noProof/>
                <w:webHidden/>
              </w:rPr>
              <w:fldChar w:fldCharType="separate"/>
            </w:r>
            <w:r w:rsidR="008A2DA2">
              <w:rPr>
                <w:noProof/>
                <w:webHidden/>
              </w:rPr>
              <w:t>3</w:t>
            </w:r>
            <w:r w:rsidR="004322EE">
              <w:rPr>
                <w:noProof/>
                <w:webHidden/>
              </w:rPr>
              <w:fldChar w:fldCharType="end"/>
            </w:r>
          </w:hyperlink>
        </w:p>
        <w:p w14:paraId="0AF0C723" w14:textId="09C1319F" w:rsidR="004322EE" w:rsidRDefault="00D462A8">
          <w:pPr>
            <w:pStyle w:val="TOC1"/>
            <w:tabs>
              <w:tab w:val="left" w:pos="440"/>
              <w:tab w:val="right" w:leader="dot" w:pos="9350"/>
            </w:tabs>
            <w:rPr>
              <w:rFonts w:eastAsiaTheme="minorEastAsia"/>
              <w:noProof/>
              <w:lang w:val="en-US"/>
            </w:rPr>
          </w:pPr>
          <w:hyperlink w:anchor="_Toc100398990" w:history="1">
            <w:r w:rsidR="004322EE" w:rsidRPr="008940EA">
              <w:rPr>
                <w:rStyle w:val="Hyperlink"/>
                <w:rFonts w:cs="Times New Roman"/>
                <w:noProof/>
                <w:lang w:val="es-419"/>
              </w:rPr>
              <w:t>6.</w:t>
            </w:r>
            <w:r w:rsidR="004322EE">
              <w:rPr>
                <w:rFonts w:eastAsiaTheme="minorEastAsia"/>
                <w:noProof/>
                <w:lang w:val="en-US"/>
              </w:rPr>
              <w:tab/>
            </w:r>
            <w:r w:rsidR="004322EE" w:rsidRPr="008940EA">
              <w:rPr>
                <w:rStyle w:val="Hyperlink"/>
                <w:noProof/>
                <w:lang w:val="es-419"/>
              </w:rPr>
              <w:t>Países donde se desarrollarán las actividades</w:t>
            </w:r>
            <w:r w:rsidR="004322EE">
              <w:rPr>
                <w:noProof/>
                <w:webHidden/>
              </w:rPr>
              <w:tab/>
            </w:r>
            <w:r w:rsidR="004322EE">
              <w:rPr>
                <w:noProof/>
                <w:webHidden/>
              </w:rPr>
              <w:fldChar w:fldCharType="begin"/>
            </w:r>
            <w:r w:rsidR="004322EE">
              <w:rPr>
                <w:noProof/>
                <w:webHidden/>
              </w:rPr>
              <w:instrText xml:space="preserve"> PAGEREF _Toc100398990 \h </w:instrText>
            </w:r>
            <w:r w:rsidR="004322EE">
              <w:rPr>
                <w:noProof/>
                <w:webHidden/>
              </w:rPr>
            </w:r>
            <w:r w:rsidR="004322EE">
              <w:rPr>
                <w:noProof/>
                <w:webHidden/>
              </w:rPr>
              <w:fldChar w:fldCharType="separate"/>
            </w:r>
            <w:r w:rsidR="008A2DA2">
              <w:rPr>
                <w:noProof/>
                <w:webHidden/>
              </w:rPr>
              <w:t>3</w:t>
            </w:r>
            <w:r w:rsidR="004322EE">
              <w:rPr>
                <w:noProof/>
                <w:webHidden/>
              </w:rPr>
              <w:fldChar w:fldCharType="end"/>
            </w:r>
          </w:hyperlink>
        </w:p>
        <w:p w14:paraId="52142FC7" w14:textId="3E1324E2" w:rsidR="004322EE" w:rsidRDefault="00D462A8">
          <w:pPr>
            <w:pStyle w:val="TOC1"/>
            <w:tabs>
              <w:tab w:val="left" w:pos="440"/>
              <w:tab w:val="right" w:leader="dot" w:pos="9350"/>
            </w:tabs>
            <w:rPr>
              <w:rFonts w:eastAsiaTheme="minorEastAsia"/>
              <w:noProof/>
              <w:lang w:val="en-US"/>
            </w:rPr>
          </w:pPr>
          <w:hyperlink w:anchor="_Toc100398991" w:history="1">
            <w:r w:rsidR="004322EE" w:rsidRPr="008940EA">
              <w:rPr>
                <w:rStyle w:val="Hyperlink"/>
                <w:rFonts w:cs="Times New Roman"/>
                <w:noProof/>
                <w:lang w:val="es-419"/>
              </w:rPr>
              <w:t>7.</w:t>
            </w:r>
            <w:r w:rsidR="004322EE">
              <w:rPr>
                <w:rFonts w:eastAsiaTheme="minorEastAsia"/>
                <w:noProof/>
                <w:lang w:val="en-US"/>
              </w:rPr>
              <w:tab/>
            </w:r>
            <w:r w:rsidR="004322EE" w:rsidRPr="008940EA">
              <w:rPr>
                <w:rStyle w:val="Hyperlink"/>
                <w:noProof/>
                <w:lang w:val="es-419"/>
              </w:rPr>
              <w:t>Fecha de elaboración de este documento</w:t>
            </w:r>
            <w:r w:rsidR="004322EE">
              <w:rPr>
                <w:noProof/>
                <w:webHidden/>
              </w:rPr>
              <w:tab/>
            </w:r>
            <w:r w:rsidR="004322EE">
              <w:rPr>
                <w:noProof/>
                <w:webHidden/>
              </w:rPr>
              <w:fldChar w:fldCharType="begin"/>
            </w:r>
            <w:r w:rsidR="004322EE">
              <w:rPr>
                <w:noProof/>
                <w:webHidden/>
              </w:rPr>
              <w:instrText xml:space="preserve"> PAGEREF _Toc100398991 \h </w:instrText>
            </w:r>
            <w:r w:rsidR="004322EE">
              <w:rPr>
                <w:noProof/>
                <w:webHidden/>
              </w:rPr>
            </w:r>
            <w:r w:rsidR="004322EE">
              <w:rPr>
                <w:noProof/>
                <w:webHidden/>
              </w:rPr>
              <w:fldChar w:fldCharType="separate"/>
            </w:r>
            <w:r w:rsidR="008A2DA2">
              <w:rPr>
                <w:noProof/>
                <w:webHidden/>
              </w:rPr>
              <w:t>3</w:t>
            </w:r>
            <w:r w:rsidR="004322EE">
              <w:rPr>
                <w:noProof/>
                <w:webHidden/>
              </w:rPr>
              <w:fldChar w:fldCharType="end"/>
            </w:r>
          </w:hyperlink>
        </w:p>
        <w:p w14:paraId="6B79C99F" w14:textId="228D49A4" w:rsidR="004322EE" w:rsidRDefault="00D462A8">
          <w:pPr>
            <w:pStyle w:val="TOC1"/>
            <w:tabs>
              <w:tab w:val="left" w:pos="440"/>
              <w:tab w:val="right" w:leader="dot" w:pos="9350"/>
            </w:tabs>
            <w:rPr>
              <w:rFonts w:eastAsiaTheme="minorEastAsia"/>
              <w:noProof/>
              <w:lang w:val="en-US"/>
            </w:rPr>
          </w:pPr>
          <w:hyperlink w:anchor="_Toc100398992" w:history="1">
            <w:r w:rsidR="004322EE" w:rsidRPr="008940EA">
              <w:rPr>
                <w:rStyle w:val="Hyperlink"/>
                <w:rFonts w:cs="Times New Roman"/>
                <w:noProof/>
                <w:lang w:val="es-419"/>
              </w:rPr>
              <w:t>8.</w:t>
            </w:r>
            <w:r w:rsidR="004322EE">
              <w:rPr>
                <w:rFonts w:eastAsiaTheme="minorEastAsia"/>
                <w:noProof/>
                <w:lang w:val="en-US"/>
              </w:rPr>
              <w:tab/>
            </w:r>
            <w:r w:rsidR="004322EE" w:rsidRPr="008940EA">
              <w:rPr>
                <w:rStyle w:val="Hyperlink"/>
                <w:noProof/>
                <w:lang w:val="es-419"/>
              </w:rPr>
              <w:t>Introducción</w:t>
            </w:r>
            <w:r w:rsidR="004322EE">
              <w:rPr>
                <w:noProof/>
                <w:webHidden/>
              </w:rPr>
              <w:tab/>
            </w:r>
            <w:r w:rsidR="004322EE">
              <w:rPr>
                <w:noProof/>
                <w:webHidden/>
              </w:rPr>
              <w:fldChar w:fldCharType="begin"/>
            </w:r>
            <w:r w:rsidR="004322EE">
              <w:rPr>
                <w:noProof/>
                <w:webHidden/>
              </w:rPr>
              <w:instrText xml:space="preserve"> PAGEREF _Toc100398992 \h </w:instrText>
            </w:r>
            <w:r w:rsidR="004322EE">
              <w:rPr>
                <w:noProof/>
                <w:webHidden/>
              </w:rPr>
            </w:r>
            <w:r w:rsidR="004322EE">
              <w:rPr>
                <w:noProof/>
                <w:webHidden/>
              </w:rPr>
              <w:fldChar w:fldCharType="separate"/>
            </w:r>
            <w:r w:rsidR="008A2DA2">
              <w:rPr>
                <w:noProof/>
                <w:webHidden/>
              </w:rPr>
              <w:t>3</w:t>
            </w:r>
            <w:r w:rsidR="004322EE">
              <w:rPr>
                <w:noProof/>
                <w:webHidden/>
              </w:rPr>
              <w:fldChar w:fldCharType="end"/>
            </w:r>
          </w:hyperlink>
        </w:p>
        <w:p w14:paraId="3A38BAEB" w14:textId="6B5DD40F" w:rsidR="004322EE" w:rsidRDefault="00D462A8">
          <w:pPr>
            <w:pStyle w:val="TOC1"/>
            <w:tabs>
              <w:tab w:val="left" w:pos="440"/>
              <w:tab w:val="right" w:leader="dot" w:pos="9350"/>
            </w:tabs>
            <w:rPr>
              <w:rFonts w:eastAsiaTheme="minorEastAsia"/>
              <w:noProof/>
              <w:lang w:val="en-US"/>
            </w:rPr>
          </w:pPr>
          <w:hyperlink w:anchor="_Toc100398993" w:history="1">
            <w:r w:rsidR="004322EE" w:rsidRPr="008940EA">
              <w:rPr>
                <w:rStyle w:val="Hyperlink"/>
                <w:rFonts w:cs="Times New Roman"/>
                <w:noProof/>
                <w:lang w:val="es-419"/>
              </w:rPr>
              <w:t>9.</w:t>
            </w:r>
            <w:r w:rsidR="004322EE">
              <w:rPr>
                <w:rFonts w:eastAsiaTheme="minorEastAsia"/>
                <w:noProof/>
                <w:lang w:val="en-US"/>
              </w:rPr>
              <w:tab/>
            </w:r>
            <w:r w:rsidR="004322EE" w:rsidRPr="008940EA">
              <w:rPr>
                <w:rStyle w:val="Hyperlink"/>
                <w:noProof/>
                <w:lang w:val="es-419"/>
              </w:rPr>
              <w:t>Resumen de actividades anteriores de participación de las partes interesadas</w:t>
            </w:r>
            <w:r w:rsidR="004322EE">
              <w:rPr>
                <w:noProof/>
                <w:webHidden/>
              </w:rPr>
              <w:tab/>
            </w:r>
            <w:r w:rsidR="004322EE">
              <w:rPr>
                <w:noProof/>
                <w:webHidden/>
              </w:rPr>
              <w:fldChar w:fldCharType="begin"/>
            </w:r>
            <w:r w:rsidR="004322EE">
              <w:rPr>
                <w:noProof/>
                <w:webHidden/>
              </w:rPr>
              <w:instrText xml:space="preserve"> PAGEREF _Toc100398993 \h </w:instrText>
            </w:r>
            <w:r w:rsidR="004322EE">
              <w:rPr>
                <w:noProof/>
                <w:webHidden/>
              </w:rPr>
            </w:r>
            <w:r w:rsidR="004322EE">
              <w:rPr>
                <w:noProof/>
                <w:webHidden/>
              </w:rPr>
              <w:fldChar w:fldCharType="separate"/>
            </w:r>
            <w:r w:rsidR="008A2DA2">
              <w:rPr>
                <w:noProof/>
                <w:webHidden/>
              </w:rPr>
              <w:t>3</w:t>
            </w:r>
            <w:r w:rsidR="004322EE">
              <w:rPr>
                <w:noProof/>
                <w:webHidden/>
              </w:rPr>
              <w:fldChar w:fldCharType="end"/>
            </w:r>
          </w:hyperlink>
        </w:p>
        <w:p w14:paraId="2D67A16A" w14:textId="7086F76E" w:rsidR="004322EE" w:rsidRDefault="00D462A8">
          <w:pPr>
            <w:pStyle w:val="TOC1"/>
            <w:tabs>
              <w:tab w:val="left" w:pos="660"/>
              <w:tab w:val="right" w:leader="dot" w:pos="9350"/>
            </w:tabs>
            <w:rPr>
              <w:rFonts w:eastAsiaTheme="minorEastAsia"/>
              <w:noProof/>
              <w:lang w:val="en-US"/>
            </w:rPr>
          </w:pPr>
          <w:hyperlink w:anchor="_Toc100398994" w:history="1">
            <w:r w:rsidR="004322EE" w:rsidRPr="008940EA">
              <w:rPr>
                <w:rStyle w:val="Hyperlink"/>
                <w:rFonts w:cs="Times New Roman"/>
                <w:noProof/>
                <w:lang w:val="es-419"/>
              </w:rPr>
              <w:t>10.</w:t>
            </w:r>
            <w:r w:rsidR="004322EE">
              <w:rPr>
                <w:rFonts w:eastAsiaTheme="minorEastAsia"/>
                <w:noProof/>
                <w:lang w:val="en-US"/>
              </w:rPr>
              <w:tab/>
            </w:r>
            <w:r w:rsidR="004322EE" w:rsidRPr="008940EA">
              <w:rPr>
                <w:rStyle w:val="Hyperlink"/>
                <w:noProof/>
                <w:lang w:val="es-419"/>
              </w:rPr>
              <w:t>Partes interesadas del proyecto</w:t>
            </w:r>
            <w:r w:rsidR="004322EE">
              <w:rPr>
                <w:noProof/>
                <w:webHidden/>
              </w:rPr>
              <w:tab/>
            </w:r>
            <w:r w:rsidR="004322EE">
              <w:rPr>
                <w:noProof/>
                <w:webHidden/>
              </w:rPr>
              <w:fldChar w:fldCharType="begin"/>
            </w:r>
            <w:r w:rsidR="004322EE">
              <w:rPr>
                <w:noProof/>
                <w:webHidden/>
              </w:rPr>
              <w:instrText xml:space="preserve"> PAGEREF _Toc100398994 \h </w:instrText>
            </w:r>
            <w:r w:rsidR="004322EE">
              <w:rPr>
                <w:noProof/>
                <w:webHidden/>
              </w:rPr>
            </w:r>
            <w:r w:rsidR="004322EE">
              <w:rPr>
                <w:noProof/>
                <w:webHidden/>
              </w:rPr>
              <w:fldChar w:fldCharType="separate"/>
            </w:r>
            <w:r w:rsidR="008A2DA2">
              <w:rPr>
                <w:noProof/>
                <w:webHidden/>
              </w:rPr>
              <w:t>5</w:t>
            </w:r>
            <w:r w:rsidR="004322EE">
              <w:rPr>
                <w:noProof/>
                <w:webHidden/>
              </w:rPr>
              <w:fldChar w:fldCharType="end"/>
            </w:r>
          </w:hyperlink>
        </w:p>
        <w:p w14:paraId="7BA82364" w14:textId="1B8A032F" w:rsidR="004322EE" w:rsidRDefault="00D462A8">
          <w:pPr>
            <w:pStyle w:val="TOC1"/>
            <w:tabs>
              <w:tab w:val="left" w:pos="660"/>
              <w:tab w:val="right" w:leader="dot" w:pos="9350"/>
            </w:tabs>
            <w:rPr>
              <w:rFonts w:eastAsiaTheme="minorEastAsia"/>
              <w:noProof/>
              <w:lang w:val="en-US"/>
            </w:rPr>
          </w:pPr>
          <w:hyperlink w:anchor="_Toc100398995" w:history="1">
            <w:r w:rsidR="004322EE" w:rsidRPr="008940EA">
              <w:rPr>
                <w:rStyle w:val="Hyperlink"/>
                <w:rFonts w:cs="Times New Roman"/>
                <w:noProof/>
                <w:lang w:val="es-419"/>
              </w:rPr>
              <w:t>11.</w:t>
            </w:r>
            <w:r w:rsidR="004322EE">
              <w:rPr>
                <w:rFonts w:eastAsiaTheme="minorEastAsia"/>
                <w:noProof/>
                <w:lang w:val="en-US"/>
              </w:rPr>
              <w:tab/>
            </w:r>
            <w:r w:rsidR="004322EE" w:rsidRPr="008940EA">
              <w:rPr>
                <w:rStyle w:val="Hyperlink"/>
                <w:noProof/>
                <w:lang w:val="es-419"/>
              </w:rPr>
              <w:t>Programa de participación de las partes interesadas</w:t>
            </w:r>
            <w:r w:rsidR="004322EE">
              <w:rPr>
                <w:noProof/>
                <w:webHidden/>
              </w:rPr>
              <w:tab/>
            </w:r>
            <w:r w:rsidR="004322EE">
              <w:rPr>
                <w:noProof/>
                <w:webHidden/>
              </w:rPr>
              <w:fldChar w:fldCharType="begin"/>
            </w:r>
            <w:r w:rsidR="004322EE">
              <w:rPr>
                <w:noProof/>
                <w:webHidden/>
              </w:rPr>
              <w:instrText xml:space="preserve"> PAGEREF _Toc100398995 \h </w:instrText>
            </w:r>
            <w:r w:rsidR="004322EE">
              <w:rPr>
                <w:noProof/>
                <w:webHidden/>
              </w:rPr>
            </w:r>
            <w:r w:rsidR="004322EE">
              <w:rPr>
                <w:noProof/>
                <w:webHidden/>
              </w:rPr>
              <w:fldChar w:fldCharType="separate"/>
            </w:r>
            <w:r w:rsidR="008A2DA2">
              <w:rPr>
                <w:noProof/>
                <w:webHidden/>
              </w:rPr>
              <w:t>14</w:t>
            </w:r>
            <w:r w:rsidR="004322EE">
              <w:rPr>
                <w:noProof/>
                <w:webHidden/>
              </w:rPr>
              <w:fldChar w:fldCharType="end"/>
            </w:r>
          </w:hyperlink>
        </w:p>
        <w:p w14:paraId="7C62A2E5" w14:textId="2200DDC8" w:rsidR="004322EE" w:rsidRDefault="00D462A8">
          <w:pPr>
            <w:pStyle w:val="TOC1"/>
            <w:tabs>
              <w:tab w:val="left" w:pos="660"/>
              <w:tab w:val="right" w:leader="dot" w:pos="9350"/>
            </w:tabs>
            <w:rPr>
              <w:rFonts w:eastAsiaTheme="minorEastAsia"/>
              <w:noProof/>
              <w:lang w:val="en-US"/>
            </w:rPr>
          </w:pPr>
          <w:hyperlink w:anchor="_Toc100398996" w:history="1">
            <w:r w:rsidR="004322EE" w:rsidRPr="008940EA">
              <w:rPr>
                <w:rStyle w:val="Hyperlink"/>
                <w:rFonts w:cs="Times New Roman"/>
                <w:noProof/>
                <w:lang w:val="es-419"/>
              </w:rPr>
              <w:t>12.</w:t>
            </w:r>
            <w:r w:rsidR="004322EE">
              <w:rPr>
                <w:rFonts w:eastAsiaTheme="minorEastAsia"/>
                <w:noProof/>
                <w:lang w:val="en-US"/>
              </w:rPr>
              <w:tab/>
            </w:r>
            <w:r w:rsidR="004322EE" w:rsidRPr="008940EA">
              <w:rPr>
                <w:rStyle w:val="Hyperlink"/>
                <w:noProof/>
                <w:lang w:val="es-419"/>
              </w:rPr>
              <w:t>Métodos de consulta</w:t>
            </w:r>
            <w:r w:rsidR="004322EE">
              <w:rPr>
                <w:noProof/>
                <w:webHidden/>
              </w:rPr>
              <w:tab/>
            </w:r>
            <w:r w:rsidR="004322EE">
              <w:rPr>
                <w:noProof/>
                <w:webHidden/>
              </w:rPr>
              <w:fldChar w:fldCharType="begin"/>
            </w:r>
            <w:r w:rsidR="004322EE">
              <w:rPr>
                <w:noProof/>
                <w:webHidden/>
              </w:rPr>
              <w:instrText xml:space="preserve"> PAGEREF _Toc100398996 \h </w:instrText>
            </w:r>
            <w:r w:rsidR="004322EE">
              <w:rPr>
                <w:noProof/>
                <w:webHidden/>
              </w:rPr>
            </w:r>
            <w:r w:rsidR="004322EE">
              <w:rPr>
                <w:noProof/>
                <w:webHidden/>
              </w:rPr>
              <w:fldChar w:fldCharType="separate"/>
            </w:r>
            <w:r w:rsidR="008A2DA2">
              <w:rPr>
                <w:noProof/>
                <w:webHidden/>
              </w:rPr>
              <w:t>15</w:t>
            </w:r>
            <w:r w:rsidR="004322EE">
              <w:rPr>
                <w:noProof/>
                <w:webHidden/>
              </w:rPr>
              <w:fldChar w:fldCharType="end"/>
            </w:r>
          </w:hyperlink>
        </w:p>
        <w:p w14:paraId="6F1016DC" w14:textId="0B802208" w:rsidR="004322EE" w:rsidRDefault="00D462A8">
          <w:pPr>
            <w:pStyle w:val="TOC1"/>
            <w:tabs>
              <w:tab w:val="left" w:pos="660"/>
              <w:tab w:val="right" w:leader="dot" w:pos="9350"/>
            </w:tabs>
            <w:rPr>
              <w:rFonts w:eastAsiaTheme="minorEastAsia"/>
              <w:noProof/>
              <w:lang w:val="en-US"/>
            </w:rPr>
          </w:pPr>
          <w:hyperlink w:anchor="_Toc100398997" w:history="1">
            <w:r w:rsidR="004322EE" w:rsidRPr="008940EA">
              <w:rPr>
                <w:rStyle w:val="Hyperlink"/>
                <w:rFonts w:cs="Times New Roman"/>
                <w:noProof/>
                <w:lang w:val="es-419"/>
              </w:rPr>
              <w:t>13.</w:t>
            </w:r>
            <w:r w:rsidR="004322EE">
              <w:rPr>
                <w:rFonts w:eastAsiaTheme="minorEastAsia"/>
                <w:noProof/>
                <w:lang w:val="en-US"/>
              </w:rPr>
              <w:tab/>
            </w:r>
            <w:r w:rsidR="004322EE" w:rsidRPr="008940EA">
              <w:rPr>
                <w:rStyle w:val="Hyperlink"/>
                <w:noProof/>
                <w:lang w:val="es-419"/>
              </w:rPr>
              <w:t>Otras actividades de participación</w:t>
            </w:r>
            <w:r w:rsidR="004322EE">
              <w:rPr>
                <w:noProof/>
                <w:webHidden/>
              </w:rPr>
              <w:tab/>
            </w:r>
            <w:r w:rsidR="004322EE">
              <w:rPr>
                <w:noProof/>
                <w:webHidden/>
              </w:rPr>
              <w:fldChar w:fldCharType="begin"/>
            </w:r>
            <w:r w:rsidR="004322EE">
              <w:rPr>
                <w:noProof/>
                <w:webHidden/>
              </w:rPr>
              <w:instrText xml:space="preserve"> PAGEREF _Toc100398997 \h </w:instrText>
            </w:r>
            <w:r w:rsidR="004322EE">
              <w:rPr>
                <w:noProof/>
                <w:webHidden/>
              </w:rPr>
            </w:r>
            <w:r w:rsidR="004322EE">
              <w:rPr>
                <w:noProof/>
                <w:webHidden/>
              </w:rPr>
              <w:fldChar w:fldCharType="separate"/>
            </w:r>
            <w:r w:rsidR="008A2DA2">
              <w:rPr>
                <w:noProof/>
                <w:webHidden/>
              </w:rPr>
              <w:t>16</w:t>
            </w:r>
            <w:r w:rsidR="004322EE">
              <w:rPr>
                <w:noProof/>
                <w:webHidden/>
              </w:rPr>
              <w:fldChar w:fldCharType="end"/>
            </w:r>
          </w:hyperlink>
        </w:p>
        <w:p w14:paraId="5749F6DF" w14:textId="7DA1E58A" w:rsidR="004322EE" w:rsidRDefault="00D462A8">
          <w:pPr>
            <w:pStyle w:val="TOC1"/>
            <w:tabs>
              <w:tab w:val="left" w:pos="660"/>
              <w:tab w:val="right" w:leader="dot" w:pos="9350"/>
            </w:tabs>
            <w:rPr>
              <w:rFonts w:eastAsiaTheme="minorEastAsia"/>
              <w:noProof/>
              <w:lang w:val="en-US"/>
            </w:rPr>
          </w:pPr>
          <w:hyperlink w:anchor="_Toc100398998" w:history="1">
            <w:r w:rsidR="004322EE" w:rsidRPr="008940EA">
              <w:rPr>
                <w:rStyle w:val="Hyperlink"/>
                <w:rFonts w:cs="Times New Roman"/>
                <w:noProof/>
                <w:lang w:val="es-419"/>
              </w:rPr>
              <w:t>14.</w:t>
            </w:r>
            <w:r w:rsidR="004322EE">
              <w:rPr>
                <w:rFonts w:eastAsiaTheme="minorEastAsia"/>
                <w:noProof/>
                <w:lang w:val="en-US"/>
              </w:rPr>
              <w:tab/>
            </w:r>
            <w:r w:rsidR="004322EE" w:rsidRPr="008940EA">
              <w:rPr>
                <w:rStyle w:val="Hyperlink"/>
                <w:noProof/>
                <w:lang w:val="es-419"/>
              </w:rPr>
              <w:t>Cronograma y recursos</w:t>
            </w:r>
            <w:r w:rsidR="004322EE">
              <w:rPr>
                <w:noProof/>
                <w:webHidden/>
              </w:rPr>
              <w:tab/>
            </w:r>
            <w:r w:rsidR="004322EE">
              <w:rPr>
                <w:noProof/>
                <w:webHidden/>
              </w:rPr>
              <w:fldChar w:fldCharType="begin"/>
            </w:r>
            <w:r w:rsidR="004322EE">
              <w:rPr>
                <w:noProof/>
                <w:webHidden/>
              </w:rPr>
              <w:instrText xml:space="preserve"> PAGEREF _Toc100398998 \h </w:instrText>
            </w:r>
            <w:r w:rsidR="004322EE">
              <w:rPr>
                <w:noProof/>
                <w:webHidden/>
              </w:rPr>
            </w:r>
            <w:r w:rsidR="004322EE">
              <w:rPr>
                <w:noProof/>
                <w:webHidden/>
              </w:rPr>
              <w:fldChar w:fldCharType="separate"/>
            </w:r>
            <w:r w:rsidR="008A2DA2">
              <w:rPr>
                <w:noProof/>
                <w:webHidden/>
              </w:rPr>
              <w:t>16</w:t>
            </w:r>
            <w:r w:rsidR="004322EE">
              <w:rPr>
                <w:noProof/>
                <w:webHidden/>
              </w:rPr>
              <w:fldChar w:fldCharType="end"/>
            </w:r>
          </w:hyperlink>
        </w:p>
        <w:p w14:paraId="4B90BA14" w14:textId="78A8B6D2" w:rsidR="004322EE" w:rsidRDefault="00D462A8">
          <w:pPr>
            <w:pStyle w:val="TOC1"/>
            <w:tabs>
              <w:tab w:val="left" w:pos="660"/>
              <w:tab w:val="right" w:leader="dot" w:pos="9350"/>
            </w:tabs>
            <w:rPr>
              <w:rFonts w:eastAsiaTheme="minorEastAsia"/>
              <w:noProof/>
              <w:lang w:val="en-US"/>
            </w:rPr>
          </w:pPr>
          <w:hyperlink w:anchor="_Toc100398999" w:history="1">
            <w:r w:rsidR="004322EE" w:rsidRPr="008940EA">
              <w:rPr>
                <w:rStyle w:val="Hyperlink"/>
                <w:rFonts w:cs="Times New Roman"/>
                <w:bCs/>
                <w:iCs/>
                <w:noProof/>
                <w:lang w:val="es-419"/>
              </w:rPr>
              <w:t>15.</w:t>
            </w:r>
            <w:r w:rsidR="004322EE">
              <w:rPr>
                <w:rFonts w:eastAsiaTheme="minorEastAsia"/>
                <w:noProof/>
                <w:lang w:val="en-US"/>
              </w:rPr>
              <w:tab/>
            </w:r>
            <w:r w:rsidR="004322EE" w:rsidRPr="008940EA">
              <w:rPr>
                <w:rStyle w:val="Hyperlink"/>
                <w:noProof/>
                <w:lang w:val="es-419"/>
              </w:rPr>
              <w:t>Seguimiento y arreglos</w:t>
            </w:r>
            <w:r w:rsidR="004322EE">
              <w:rPr>
                <w:noProof/>
                <w:webHidden/>
              </w:rPr>
              <w:tab/>
            </w:r>
            <w:r w:rsidR="004322EE">
              <w:rPr>
                <w:noProof/>
                <w:webHidden/>
              </w:rPr>
              <w:fldChar w:fldCharType="begin"/>
            </w:r>
            <w:r w:rsidR="004322EE">
              <w:rPr>
                <w:noProof/>
                <w:webHidden/>
              </w:rPr>
              <w:instrText xml:space="preserve"> PAGEREF _Toc100398999 \h </w:instrText>
            </w:r>
            <w:r w:rsidR="004322EE">
              <w:rPr>
                <w:noProof/>
                <w:webHidden/>
              </w:rPr>
            </w:r>
            <w:r w:rsidR="004322EE">
              <w:rPr>
                <w:noProof/>
                <w:webHidden/>
              </w:rPr>
              <w:fldChar w:fldCharType="separate"/>
            </w:r>
            <w:r w:rsidR="008A2DA2">
              <w:rPr>
                <w:noProof/>
                <w:webHidden/>
              </w:rPr>
              <w:t>18</w:t>
            </w:r>
            <w:r w:rsidR="004322EE">
              <w:rPr>
                <w:noProof/>
                <w:webHidden/>
              </w:rPr>
              <w:fldChar w:fldCharType="end"/>
            </w:r>
          </w:hyperlink>
        </w:p>
        <w:p w14:paraId="0A3F6EC8" w14:textId="26FAE7F8" w:rsidR="004322EE" w:rsidRDefault="00D462A8">
          <w:pPr>
            <w:pStyle w:val="TOC1"/>
            <w:tabs>
              <w:tab w:val="left" w:pos="660"/>
              <w:tab w:val="right" w:leader="dot" w:pos="9350"/>
            </w:tabs>
            <w:rPr>
              <w:rFonts w:eastAsiaTheme="minorEastAsia"/>
              <w:noProof/>
              <w:lang w:val="en-US"/>
            </w:rPr>
          </w:pPr>
          <w:hyperlink w:anchor="_Toc100399000" w:history="1">
            <w:r w:rsidR="004322EE" w:rsidRPr="008940EA">
              <w:rPr>
                <w:rStyle w:val="Hyperlink"/>
                <w:rFonts w:cs="Times New Roman"/>
                <w:bCs/>
                <w:iCs/>
                <w:noProof/>
                <w:lang w:val="es-419"/>
              </w:rPr>
              <w:t>16.</w:t>
            </w:r>
            <w:r w:rsidR="004322EE">
              <w:rPr>
                <w:rFonts w:eastAsiaTheme="minorEastAsia"/>
                <w:noProof/>
                <w:lang w:val="en-US"/>
              </w:rPr>
              <w:tab/>
            </w:r>
            <w:r w:rsidR="004322EE" w:rsidRPr="008940EA">
              <w:rPr>
                <w:rStyle w:val="Hyperlink"/>
                <w:noProof/>
                <w:lang w:val="es-419"/>
              </w:rPr>
              <w:t>Consulta</w:t>
            </w:r>
            <w:r w:rsidR="004322EE">
              <w:rPr>
                <w:noProof/>
                <w:webHidden/>
              </w:rPr>
              <w:tab/>
            </w:r>
            <w:r w:rsidR="004322EE">
              <w:rPr>
                <w:noProof/>
                <w:webHidden/>
              </w:rPr>
              <w:fldChar w:fldCharType="begin"/>
            </w:r>
            <w:r w:rsidR="004322EE">
              <w:rPr>
                <w:noProof/>
                <w:webHidden/>
              </w:rPr>
              <w:instrText xml:space="preserve"> PAGEREF _Toc100399000 \h </w:instrText>
            </w:r>
            <w:r w:rsidR="004322EE">
              <w:rPr>
                <w:noProof/>
                <w:webHidden/>
              </w:rPr>
            </w:r>
            <w:r w:rsidR="004322EE">
              <w:rPr>
                <w:noProof/>
                <w:webHidden/>
              </w:rPr>
              <w:fldChar w:fldCharType="separate"/>
            </w:r>
            <w:r w:rsidR="008A2DA2">
              <w:rPr>
                <w:noProof/>
                <w:webHidden/>
              </w:rPr>
              <w:t>18</w:t>
            </w:r>
            <w:r w:rsidR="004322EE">
              <w:rPr>
                <w:noProof/>
                <w:webHidden/>
              </w:rPr>
              <w:fldChar w:fldCharType="end"/>
            </w:r>
          </w:hyperlink>
        </w:p>
        <w:p w14:paraId="3E899625" w14:textId="18FC1CA3" w:rsidR="004322EE" w:rsidRDefault="00D462A8">
          <w:pPr>
            <w:pStyle w:val="TOC1"/>
            <w:tabs>
              <w:tab w:val="left" w:pos="660"/>
              <w:tab w:val="right" w:leader="dot" w:pos="9350"/>
            </w:tabs>
            <w:rPr>
              <w:rFonts w:eastAsiaTheme="minorEastAsia"/>
              <w:noProof/>
              <w:lang w:val="en-US"/>
            </w:rPr>
          </w:pPr>
          <w:hyperlink w:anchor="_Toc100399001" w:history="1">
            <w:r w:rsidR="004322EE" w:rsidRPr="008940EA">
              <w:rPr>
                <w:rStyle w:val="Hyperlink"/>
                <w:rFonts w:cs="Times New Roman"/>
                <w:bCs/>
                <w:iCs/>
                <w:noProof/>
                <w:lang w:val="es-419"/>
              </w:rPr>
              <w:t>17.</w:t>
            </w:r>
            <w:r w:rsidR="004322EE">
              <w:rPr>
                <w:rFonts w:eastAsiaTheme="minorEastAsia"/>
                <w:noProof/>
                <w:lang w:val="en-US"/>
              </w:rPr>
              <w:tab/>
            </w:r>
            <w:r w:rsidR="004322EE" w:rsidRPr="008940EA">
              <w:rPr>
                <w:rStyle w:val="Hyperlink"/>
                <w:noProof/>
                <w:lang w:val="es-419"/>
              </w:rPr>
              <w:t>Divulgar</w:t>
            </w:r>
            <w:r w:rsidR="004322EE">
              <w:rPr>
                <w:noProof/>
                <w:webHidden/>
              </w:rPr>
              <w:tab/>
            </w:r>
            <w:r w:rsidR="004322EE">
              <w:rPr>
                <w:noProof/>
                <w:webHidden/>
              </w:rPr>
              <w:fldChar w:fldCharType="begin"/>
            </w:r>
            <w:r w:rsidR="004322EE">
              <w:rPr>
                <w:noProof/>
                <w:webHidden/>
              </w:rPr>
              <w:instrText xml:space="preserve"> PAGEREF _Toc100399001 \h </w:instrText>
            </w:r>
            <w:r w:rsidR="004322EE">
              <w:rPr>
                <w:noProof/>
                <w:webHidden/>
              </w:rPr>
            </w:r>
            <w:r w:rsidR="004322EE">
              <w:rPr>
                <w:noProof/>
                <w:webHidden/>
              </w:rPr>
              <w:fldChar w:fldCharType="separate"/>
            </w:r>
            <w:r w:rsidR="008A2DA2">
              <w:rPr>
                <w:noProof/>
                <w:webHidden/>
              </w:rPr>
              <w:t>18</w:t>
            </w:r>
            <w:r w:rsidR="004322EE">
              <w:rPr>
                <w:noProof/>
                <w:webHidden/>
              </w:rPr>
              <w:fldChar w:fldCharType="end"/>
            </w:r>
          </w:hyperlink>
        </w:p>
        <w:p w14:paraId="3F51D8B7" w14:textId="1F74AEC9" w:rsidR="004322EE" w:rsidRDefault="00D462A8">
          <w:pPr>
            <w:pStyle w:val="TOC1"/>
            <w:tabs>
              <w:tab w:val="left" w:pos="660"/>
              <w:tab w:val="right" w:leader="dot" w:pos="9350"/>
            </w:tabs>
            <w:rPr>
              <w:rFonts w:eastAsiaTheme="minorEastAsia"/>
              <w:noProof/>
              <w:lang w:val="en-US"/>
            </w:rPr>
          </w:pPr>
          <w:hyperlink w:anchor="_Toc100399002" w:history="1">
            <w:r w:rsidR="004322EE" w:rsidRPr="008940EA">
              <w:rPr>
                <w:rStyle w:val="Hyperlink"/>
                <w:rFonts w:cs="Times New Roman"/>
                <w:iCs/>
                <w:noProof/>
                <w:lang w:val="es-419"/>
              </w:rPr>
              <w:t>18.</w:t>
            </w:r>
            <w:r w:rsidR="004322EE">
              <w:rPr>
                <w:rFonts w:eastAsiaTheme="minorEastAsia"/>
                <w:noProof/>
                <w:lang w:val="en-US"/>
              </w:rPr>
              <w:tab/>
            </w:r>
            <w:r w:rsidR="004322EE" w:rsidRPr="008940EA">
              <w:rPr>
                <w:rStyle w:val="Hyperlink"/>
                <w:noProof/>
                <w:lang w:val="es-419"/>
              </w:rPr>
              <w:t>Mecanismo de quejas</w:t>
            </w:r>
            <w:r w:rsidR="004322EE">
              <w:rPr>
                <w:noProof/>
                <w:webHidden/>
              </w:rPr>
              <w:tab/>
            </w:r>
            <w:r w:rsidR="004322EE">
              <w:rPr>
                <w:noProof/>
                <w:webHidden/>
              </w:rPr>
              <w:fldChar w:fldCharType="begin"/>
            </w:r>
            <w:r w:rsidR="004322EE">
              <w:rPr>
                <w:noProof/>
                <w:webHidden/>
              </w:rPr>
              <w:instrText xml:space="preserve"> PAGEREF _Toc100399002 \h </w:instrText>
            </w:r>
            <w:r w:rsidR="004322EE">
              <w:rPr>
                <w:noProof/>
                <w:webHidden/>
              </w:rPr>
            </w:r>
            <w:r w:rsidR="004322EE">
              <w:rPr>
                <w:noProof/>
                <w:webHidden/>
              </w:rPr>
              <w:fldChar w:fldCharType="separate"/>
            </w:r>
            <w:r w:rsidR="008A2DA2">
              <w:rPr>
                <w:noProof/>
                <w:webHidden/>
              </w:rPr>
              <w:t>18</w:t>
            </w:r>
            <w:r w:rsidR="004322EE">
              <w:rPr>
                <w:noProof/>
                <w:webHidden/>
              </w:rPr>
              <w:fldChar w:fldCharType="end"/>
            </w:r>
          </w:hyperlink>
        </w:p>
        <w:p w14:paraId="41F3C510" w14:textId="7FD84BB1" w:rsidR="004322EE" w:rsidRDefault="00D462A8">
          <w:pPr>
            <w:pStyle w:val="TOC1"/>
            <w:tabs>
              <w:tab w:val="right" w:leader="dot" w:pos="9350"/>
            </w:tabs>
            <w:rPr>
              <w:rFonts w:eastAsiaTheme="minorEastAsia"/>
              <w:noProof/>
              <w:lang w:val="en-US"/>
            </w:rPr>
          </w:pPr>
          <w:hyperlink w:anchor="_Toc100399003" w:history="1">
            <w:r w:rsidR="004322EE" w:rsidRPr="008940EA">
              <w:rPr>
                <w:rStyle w:val="Hyperlink"/>
                <w:noProof/>
                <w:lang w:val="es-419"/>
              </w:rPr>
              <w:t>Anexo 1: Lista de organizaciones consultadas durante la elaboración del Perfil del Ecosistema</w:t>
            </w:r>
            <w:r w:rsidR="004322EE">
              <w:rPr>
                <w:noProof/>
                <w:webHidden/>
              </w:rPr>
              <w:tab/>
            </w:r>
            <w:r w:rsidR="004322EE">
              <w:rPr>
                <w:noProof/>
                <w:webHidden/>
              </w:rPr>
              <w:fldChar w:fldCharType="begin"/>
            </w:r>
            <w:r w:rsidR="004322EE">
              <w:rPr>
                <w:noProof/>
                <w:webHidden/>
              </w:rPr>
              <w:instrText xml:space="preserve"> PAGEREF _Toc100399003 \h </w:instrText>
            </w:r>
            <w:r w:rsidR="004322EE">
              <w:rPr>
                <w:noProof/>
                <w:webHidden/>
              </w:rPr>
            </w:r>
            <w:r w:rsidR="004322EE">
              <w:rPr>
                <w:noProof/>
                <w:webHidden/>
              </w:rPr>
              <w:fldChar w:fldCharType="separate"/>
            </w:r>
            <w:r w:rsidR="008A2DA2">
              <w:rPr>
                <w:noProof/>
                <w:webHidden/>
              </w:rPr>
              <w:t>22</w:t>
            </w:r>
            <w:r w:rsidR="004322EE">
              <w:rPr>
                <w:noProof/>
                <w:webHidden/>
              </w:rPr>
              <w:fldChar w:fldCharType="end"/>
            </w:r>
          </w:hyperlink>
        </w:p>
        <w:p w14:paraId="3FDBD5D2" w14:textId="596130C1" w:rsidR="004322EE" w:rsidRDefault="00D462A8">
          <w:pPr>
            <w:pStyle w:val="TOC1"/>
            <w:tabs>
              <w:tab w:val="right" w:leader="dot" w:pos="9350"/>
            </w:tabs>
            <w:rPr>
              <w:rFonts w:eastAsiaTheme="minorEastAsia"/>
              <w:noProof/>
              <w:lang w:val="en-US"/>
            </w:rPr>
          </w:pPr>
          <w:hyperlink w:anchor="_Toc100399004" w:history="1">
            <w:r w:rsidR="004322EE" w:rsidRPr="008940EA">
              <w:rPr>
                <w:rStyle w:val="Hyperlink"/>
                <w:noProof/>
                <w:lang w:val="es-419"/>
              </w:rPr>
              <w:t>Anexo 2: Plantilla del plan de participación de las partes interesadas</w:t>
            </w:r>
            <w:r w:rsidR="004322EE">
              <w:rPr>
                <w:noProof/>
                <w:webHidden/>
              </w:rPr>
              <w:tab/>
            </w:r>
            <w:r w:rsidR="004322EE">
              <w:rPr>
                <w:noProof/>
                <w:webHidden/>
              </w:rPr>
              <w:fldChar w:fldCharType="begin"/>
            </w:r>
            <w:r w:rsidR="004322EE">
              <w:rPr>
                <w:noProof/>
                <w:webHidden/>
              </w:rPr>
              <w:instrText xml:space="preserve"> PAGEREF _Toc100399004 \h </w:instrText>
            </w:r>
            <w:r w:rsidR="004322EE">
              <w:rPr>
                <w:noProof/>
                <w:webHidden/>
              </w:rPr>
            </w:r>
            <w:r w:rsidR="004322EE">
              <w:rPr>
                <w:noProof/>
                <w:webHidden/>
              </w:rPr>
              <w:fldChar w:fldCharType="separate"/>
            </w:r>
            <w:r w:rsidR="008A2DA2">
              <w:rPr>
                <w:noProof/>
                <w:webHidden/>
              </w:rPr>
              <w:t>25</w:t>
            </w:r>
            <w:r w:rsidR="004322EE">
              <w:rPr>
                <w:noProof/>
                <w:webHidden/>
              </w:rPr>
              <w:fldChar w:fldCharType="end"/>
            </w:r>
          </w:hyperlink>
        </w:p>
        <w:p w14:paraId="6FA6BF6A" w14:textId="69FBC794" w:rsidR="004322EE" w:rsidRDefault="00D462A8">
          <w:pPr>
            <w:pStyle w:val="TOC1"/>
            <w:tabs>
              <w:tab w:val="right" w:leader="dot" w:pos="9350"/>
            </w:tabs>
            <w:rPr>
              <w:rFonts w:eastAsiaTheme="minorEastAsia"/>
              <w:noProof/>
              <w:lang w:val="en-US"/>
            </w:rPr>
          </w:pPr>
          <w:hyperlink w:anchor="_Toc100399005" w:history="1">
            <w:r w:rsidR="004322EE" w:rsidRPr="008940EA">
              <w:rPr>
                <w:rStyle w:val="Hyperlink"/>
                <w:noProof/>
                <w:lang w:val="es-419"/>
              </w:rPr>
              <w:t>Cuadro A2.1 Programa de identificación y participación de las partes interesadas</w:t>
            </w:r>
            <w:r w:rsidR="004322EE">
              <w:rPr>
                <w:noProof/>
                <w:webHidden/>
              </w:rPr>
              <w:tab/>
            </w:r>
            <w:r w:rsidR="004322EE">
              <w:rPr>
                <w:noProof/>
                <w:webHidden/>
              </w:rPr>
              <w:fldChar w:fldCharType="begin"/>
            </w:r>
            <w:r w:rsidR="004322EE">
              <w:rPr>
                <w:noProof/>
                <w:webHidden/>
              </w:rPr>
              <w:instrText xml:space="preserve"> PAGEREF _Toc100399005 \h </w:instrText>
            </w:r>
            <w:r w:rsidR="004322EE">
              <w:rPr>
                <w:noProof/>
                <w:webHidden/>
              </w:rPr>
            </w:r>
            <w:r w:rsidR="004322EE">
              <w:rPr>
                <w:noProof/>
                <w:webHidden/>
              </w:rPr>
              <w:fldChar w:fldCharType="separate"/>
            </w:r>
            <w:r w:rsidR="008A2DA2">
              <w:rPr>
                <w:noProof/>
                <w:webHidden/>
              </w:rPr>
              <w:t>29</w:t>
            </w:r>
            <w:r w:rsidR="004322EE">
              <w:rPr>
                <w:noProof/>
                <w:webHidden/>
              </w:rPr>
              <w:fldChar w:fldCharType="end"/>
            </w:r>
          </w:hyperlink>
        </w:p>
        <w:p w14:paraId="6B0A3573" w14:textId="3E929E24" w:rsidR="004322EE" w:rsidRDefault="00D462A8">
          <w:pPr>
            <w:pStyle w:val="TOC1"/>
            <w:tabs>
              <w:tab w:val="right" w:leader="dot" w:pos="9350"/>
            </w:tabs>
            <w:rPr>
              <w:rFonts w:eastAsiaTheme="minorEastAsia"/>
              <w:noProof/>
              <w:lang w:val="en-US"/>
            </w:rPr>
          </w:pPr>
          <w:hyperlink w:anchor="_Toc100399006" w:history="1">
            <w:r w:rsidR="004322EE" w:rsidRPr="008940EA">
              <w:rPr>
                <w:rStyle w:val="Hyperlink"/>
                <w:noProof/>
                <w:lang w:val="es-419"/>
              </w:rPr>
              <w:t>Anexo 3: Plantilla del plan de participación de las partes interesadas (proyectos de bajo riesgo)</w:t>
            </w:r>
            <w:r w:rsidR="004322EE">
              <w:rPr>
                <w:noProof/>
                <w:webHidden/>
              </w:rPr>
              <w:tab/>
            </w:r>
            <w:r w:rsidR="004322EE">
              <w:rPr>
                <w:noProof/>
                <w:webHidden/>
              </w:rPr>
              <w:fldChar w:fldCharType="begin"/>
            </w:r>
            <w:r w:rsidR="004322EE">
              <w:rPr>
                <w:noProof/>
                <w:webHidden/>
              </w:rPr>
              <w:instrText xml:space="preserve"> PAGEREF _Toc100399006 \h </w:instrText>
            </w:r>
            <w:r w:rsidR="004322EE">
              <w:rPr>
                <w:noProof/>
                <w:webHidden/>
              </w:rPr>
            </w:r>
            <w:r w:rsidR="004322EE">
              <w:rPr>
                <w:noProof/>
                <w:webHidden/>
              </w:rPr>
              <w:fldChar w:fldCharType="separate"/>
            </w:r>
            <w:r w:rsidR="008A2DA2">
              <w:rPr>
                <w:noProof/>
                <w:webHidden/>
              </w:rPr>
              <w:t>31</w:t>
            </w:r>
            <w:r w:rsidR="004322EE">
              <w:rPr>
                <w:noProof/>
                <w:webHidden/>
              </w:rPr>
              <w:fldChar w:fldCharType="end"/>
            </w:r>
          </w:hyperlink>
        </w:p>
        <w:p w14:paraId="2F70A9F7" w14:textId="01B16502" w:rsidR="003D2806" w:rsidRPr="00EF48E5" w:rsidRDefault="003D2806">
          <w:pPr>
            <w:rPr>
              <w:lang w:val="es-419"/>
            </w:rPr>
          </w:pPr>
          <w:r w:rsidRPr="00EF48E5">
            <w:rPr>
              <w:b/>
              <w:bCs/>
              <w:lang w:val="es-419"/>
            </w:rPr>
            <w:fldChar w:fldCharType="end"/>
          </w:r>
        </w:p>
      </w:sdtContent>
    </w:sdt>
    <w:p w14:paraId="22FDE72F" w14:textId="77777777" w:rsidR="003D2806" w:rsidRPr="00EF48E5" w:rsidRDefault="003D2806">
      <w:pPr>
        <w:spacing w:line="259" w:lineRule="auto"/>
        <w:rPr>
          <w:rFonts w:cstheme="minorHAnsi"/>
          <w:b/>
          <w:bCs/>
          <w:iCs/>
          <w:u w:val="single"/>
          <w:lang w:val="es-419"/>
        </w:rPr>
      </w:pPr>
      <w:r w:rsidRPr="00EF48E5">
        <w:rPr>
          <w:rFonts w:cstheme="minorHAnsi"/>
          <w:b/>
          <w:bCs/>
          <w:iCs/>
          <w:u w:val="single"/>
          <w:lang w:val="es-419"/>
        </w:rPr>
        <w:br w:type="page"/>
      </w:r>
    </w:p>
    <w:p w14:paraId="4538D9A9" w14:textId="6DB0641F" w:rsidR="008A2777" w:rsidRPr="00EF48E5" w:rsidRDefault="008A2777" w:rsidP="008A2777">
      <w:pPr>
        <w:jc w:val="both"/>
        <w:rPr>
          <w:rFonts w:cstheme="minorHAnsi"/>
          <w:b/>
          <w:bCs/>
          <w:iCs/>
          <w:lang w:val="es-419"/>
        </w:rPr>
      </w:pPr>
      <w:r w:rsidRPr="00EF48E5">
        <w:rPr>
          <w:rFonts w:cstheme="minorHAnsi"/>
          <w:b/>
          <w:bCs/>
          <w:iCs/>
          <w:u w:val="single"/>
          <w:lang w:val="es-419"/>
        </w:rPr>
        <w:lastRenderedPageBreak/>
        <w:t>Resumen de la subvención</w:t>
      </w:r>
    </w:p>
    <w:p w14:paraId="3DB78AB2" w14:textId="54279D98" w:rsidR="00E65517" w:rsidRPr="00EF48E5" w:rsidRDefault="008A2777" w:rsidP="00E65517">
      <w:pPr>
        <w:pStyle w:val="ListParagraph"/>
        <w:numPr>
          <w:ilvl w:val="0"/>
          <w:numId w:val="1"/>
        </w:numPr>
        <w:spacing w:after="0"/>
        <w:jc w:val="both"/>
        <w:rPr>
          <w:rFonts w:cstheme="minorHAnsi"/>
          <w:bCs/>
          <w:iCs/>
          <w:lang w:val="es-419"/>
        </w:rPr>
      </w:pPr>
      <w:bookmarkStart w:id="0" w:name="_Toc100398985"/>
      <w:r w:rsidRPr="00EF48E5">
        <w:rPr>
          <w:rStyle w:val="Heading1Char"/>
          <w:lang w:val="es-419"/>
        </w:rPr>
        <w:t>Organización beneficiaria</w:t>
      </w:r>
      <w:bookmarkEnd w:id="0"/>
      <w:r w:rsidR="00E65517" w:rsidRPr="00EF48E5">
        <w:rPr>
          <w:rFonts w:cstheme="minorHAnsi"/>
          <w:b/>
          <w:iCs/>
          <w:lang w:val="es-419"/>
        </w:rPr>
        <w:t xml:space="preserve">: </w:t>
      </w:r>
      <w:r w:rsidR="00E65517" w:rsidRPr="00EF48E5">
        <w:rPr>
          <w:rFonts w:cstheme="minorHAnsi"/>
          <w:bCs/>
          <w:iCs/>
          <w:lang w:val="es-419"/>
        </w:rPr>
        <w:t>Instituto de Recursos Naturales del Caribe (CANARI)</w:t>
      </w:r>
    </w:p>
    <w:p w14:paraId="5D22F654" w14:textId="0ED5A989" w:rsidR="008A2777" w:rsidRPr="00EF48E5" w:rsidRDefault="008A2777" w:rsidP="00E65517">
      <w:pPr>
        <w:pStyle w:val="ListParagraph"/>
        <w:numPr>
          <w:ilvl w:val="0"/>
          <w:numId w:val="1"/>
        </w:numPr>
        <w:spacing w:after="0"/>
        <w:jc w:val="both"/>
        <w:rPr>
          <w:rFonts w:cstheme="minorHAnsi"/>
          <w:bCs/>
          <w:iCs/>
          <w:lang w:val="es-419"/>
        </w:rPr>
      </w:pPr>
      <w:bookmarkStart w:id="1" w:name="_Toc100398986"/>
      <w:r w:rsidRPr="00EF48E5">
        <w:rPr>
          <w:rStyle w:val="Heading1Char"/>
          <w:lang w:val="es-419"/>
        </w:rPr>
        <w:t>Título del subproyecto</w:t>
      </w:r>
      <w:bookmarkEnd w:id="1"/>
      <w:r w:rsidR="00E65517" w:rsidRPr="00EF48E5">
        <w:rPr>
          <w:rFonts w:cstheme="minorHAnsi"/>
          <w:b/>
          <w:iCs/>
          <w:lang w:val="es-419"/>
        </w:rPr>
        <w:t xml:space="preserve">: </w:t>
      </w:r>
      <w:r w:rsidR="00E65517" w:rsidRPr="00EF48E5">
        <w:rPr>
          <w:rFonts w:cstheme="minorHAnsi"/>
          <w:lang w:val="es-419"/>
        </w:rPr>
        <w:t xml:space="preserve">Equipo Regional de Implementación del CEPF para el </w:t>
      </w:r>
      <w:proofErr w:type="spellStart"/>
      <w:r w:rsidR="00E65517" w:rsidRPr="00EF48E5">
        <w:rPr>
          <w:rFonts w:cstheme="minorHAnsi"/>
          <w:lang w:val="es-419"/>
        </w:rPr>
        <w:t>Hotspot</w:t>
      </w:r>
      <w:proofErr w:type="spellEnd"/>
      <w:r w:rsidR="00E65517" w:rsidRPr="00EF48E5">
        <w:rPr>
          <w:rFonts w:cstheme="minorHAnsi"/>
          <w:lang w:val="es-419"/>
        </w:rPr>
        <w:t xml:space="preserve"> de Biodiversidad de las Islas del Caribe</w:t>
      </w:r>
    </w:p>
    <w:p w14:paraId="2150D1CE" w14:textId="35D5B407" w:rsidR="008A2777" w:rsidRPr="00EF48E5" w:rsidRDefault="008A2777" w:rsidP="008A2777">
      <w:pPr>
        <w:pStyle w:val="ListParagraph"/>
        <w:numPr>
          <w:ilvl w:val="0"/>
          <w:numId w:val="1"/>
        </w:numPr>
        <w:spacing w:after="0"/>
        <w:jc w:val="both"/>
        <w:rPr>
          <w:rFonts w:cstheme="minorHAnsi"/>
          <w:b/>
          <w:lang w:val="es-419"/>
        </w:rPr>
      </w:pPr>
      <w:bookmarkStart w:id="2" w:name="_Toc100398987"/>
      <w:r w:rsidRPr="00EF48E5">
        <w:rPr>
          <w:rStyle w:val="Heading1Char"/>
          <w:lang w:val="es-419"/>
        </w:rPr>
        <w:t>Número de concesión</w:t>
      </w:r>
      <w:bookmarkEnd w:id="2"/>
      <w:r w:rsidR="00E65517" w:rsidRPr="00EF48E5">
        <w:rPr>
          <w:rFonts w:cstheme="minorHAnsi"/>
          <w:bCs/>
          <w:iCs/>
          <w:lang w:val="es-419"/>
        </w:rPr>
        <w:t xml:space="preserve">: </w:t>
      </w:r>
      <w:r w:rsidR="00E65517" w:rsidRPr="00EF48E5">
        <w:rPr>
          <w:rFonts w:cstheme="minorHAnsi"/>
          <w:lang w:val="es-419"/>
        </w:rPr>
        <w:t>111490</w:t>
      </w:r>
    </w:p>
    <w:p w14:paraId="348D84C8" w14:textId="7848FAC1" w:rsidR="008A2777" w:rsidRPr="00EF48E5" w:rsidRDefault="008A2777" w:rsidP="008A2777">
      <w:pPr>
        <w:pStyle w:val="ListParagraph"/>
        <w:numPr>
          <w:ilvl w:val="0"/>
          <w:numId w:val="1"/>
        </w:numPr>
        <w:spacing w:after="0"/>
        <w:jc w:val="both"/>
        <w:rPr>
          <w:rFonts w:cstheme="minorHAnsi"/>
          <w:b/>
          <w:lang w:val="es-419"/>
        </w:rPr>
      </w:pPr>
      <w:bookmarkStart w:id="3" w:name="_Toc100398988"/>
      <w:r w:rsidRPr="00EF48E5">
        <w:rPr>
          <w:rStyle w:val="Heading1Char"/>
          <w:lang w:val="es-419"/>
        </w:rPr>
        <w:t>Monto de la subvención</w:t>
      </w:r>
      <w:bookmarkEnd w:id="3"/>
      <w:r w:rsidRPr="00EF48E5">
        <w:rPr>
          <w:rStyle w:val="Heading1Char"/>
          <w:lang w:val="es-419"/>
        </w:rPr>
        <w:t xml:space="preserve"> </w:t>
      </w:r>
      <w:r w:rsidRPr="00EF48E5">
        <w:rPr>
          <w:rFonts w:cstheme="minorHAnsi"/>
          <w:b/>
          <w:lang w:val="es-419"/>
        </w:rPr>
        <w:t xml:space="preserve">(dólares estadounidenses): </w:t>
      </w:r>
      <w:r w:rsidR="00E65517" w:rsidRPr="00EF48E5">
        <w:rPr>
          <w:rFonts w:cstheme="minorHAnsi"/>
          <w:bCs/>
          <w:lang w:val="es-419"/>
        </w:rPr>
        <w:t>$ 1,500,000</w:t>
      </w:r>
    </w:p>
    <w:p w14:paraId="342BC84B" w14:textId="6268406A" w:rsidR="008A2777" w:rsidRPr="00EF48E5" w:rsidRDefault="008A2777" w:rsidP="008A2777">
      <w:pPr>
        <w:pStyle w:val="ListParagraph"/>
        <w:numPr>
          <w:ilvl w:val="0"/>
          <w:numId w:val="1"/>
        </w:numPr>
        <w:spacing w:after="0"/>
        <w:jc w:val="both"/>
        <w:rPr>
          <w:rFonts w:cstheme="minorHAnsi"/>
          <w:b/>
          <w:lang w:val="es-419"/>
        </w:rPr>
      </w:pPr>
      <w:bookmarkStart w:id="4" w:name="_Toc100398989"/>
      <w:r w:rsidRPr="00EF48E5">
        <w:rPr>
          <w:rStyle w:val="Heading1Char"/>
          <w:lang w:val="es-419"/>
        </w:rPr>
        <w:t>Fechas propuestas de concesión</w:t>
      </w:r>
      <w:bookmarkEnd w:id="4"/>
      <w:r w:rsidR="00E65517" w:rsidRPr="00EF48E5">
        <w:rPr>
          <w:rFonts w:cstheme="minorHAnsi"/>
          <w:b/>
          <w:lang w:val="es-419"/>
        </w:rPr>
        <w:t xml:space="preserve">: </w:t>
      </w:r>
      <w:r w:rsidR="005443C9" w:rsidRPr="00EF48E5">
        <w:rPr>
          <w:rFonts w:cstheme="minorHAnsi"/>
          <w:bCs/>
          <w:lang w:val="es-419"/>
        </w:rPr>
        <w:t>2 de agosto de 2021 – 30 de junio de 2026</w:t>
      </w:r>
    </w:p>
    <w:p w14:paraId="0EAFC4B5" w14:textId="6C73948B" w:rsidR="008A2777" w:rsidRPr="00EF48E5" w:rsidRDefault="008A2777" w:rsidP="008A2777">
      <w:pPr>
        <w:pStyle w:val="ListParagraph"/>
        <w:numPr>
          <w:ilvl w:val="0"/>
          <w:numId w:val="1"/>
        </w:numPr>
        <w:spacing w:after="0"/>
        <w:jc w:val="both"/>
        <w:rPr>
          <w:rFonts w:cstheme="minorHAnsi"/>
          <w:b/>
          <w:lang w:val="es-419"/>
        </w:rPr>
      </w:pPr>
      <w:bookmarkStart w:id="5" w:name="_Toc100398990"/>
      <w:r w:rsidRPr="00EF48E5">
        <w:rPr>
          <w:rStyle w:val="Heading1Char"/>
          <w:lang w:val="es-419"/>
        </w:rPr>
        <w:t>Países donde se desarrollarán las actividades</w:t>
      </w:r>
      <w:bookmarkEnd w:id="5"/>
      <w:r w:rsidR="00E65517" w:rsidRPr="00EF48E5">
        <w:rPr>
          <w:rFonts w:cstheme="minorHAnsi"/>
          <w:b/>
          <w:lang w:val="es-419"/>
        </w:rPr>
        <w:t xml:space="preserve">: </w:t>
      </w:r>
      <w:r w:rsidR="00E65517" w:rsidRPr="00EF48E5">
        <w:rPr>
          <w:rFonts w:cstheme="minorHAnsi"/>
          <w:bCs/>
          <w:lang w:val="es-419"/>
        </w:rPr>
        <w:t xml:space="preserve">Antigua y Barbuda, Bahamas, República Dominicana, Haití, Jamaica, Santa Lucía, San Vicente y las </w:t>
      </w:r>
      <w:proofErr w:type="gramStart"/>
      <w:r w:rsidR="00E65517" w:rsidRPr="00EF48E5">
        <w:rPr>
          <w:rFonts w:cstheme="minorHAnsi"/>
          <w:bCs/>
          <w:lang w:val="es-419"/>
        </w:rPr>
        <w:t>Granadinas</w:t>
      </w:r>
      <w:proofErr w:type="gramEnd"/>
      <w:r w:rsidR="00E65517" w:rsidRPr="00EF48E5">
        <w:rPr>
          <w:rFonts w:cstheme="minorHAnsi"/>
          <w:bCs/>
          <w:lang w:val="es-419"/>
        </w:rPr>
        <w:t>, Trinidad y Tobago</w:t>
      </w:r>
    </w:p>
    <w:p w14:paraId="081A16F8" w14:textId="291692A2" w:rsidR="008A2777" w:rsidRPr="00EF48E5" w:rsidRDefault="008A2777" w:rsidP="008A2777">
      <w:pPr>
        <w:pStyle w:val="ListParagraph"/>
        <w:numPr>
          <w:ilvl w:val="0"/>
          <w:numId w:val="1"/>
        </w:numPr>
        <w:spacing w:after="0"/>
        <w:jc w:val="both"/>
        <w:rPr>
          <w:rFonts w:cstheme="minorHAnsi"/>
          <w:b/>
          <w:lang w:val="es-419"/>
        </w:rPr>
      </w:pPr>
      <w:bookmarkStart w:id="6" w:name="_Toc100398991"/>
      <w:r w:rsidRPr="00EF48E5">
        <w:rPr>
          <w:rStyle w:val="Heading1Char"/>
          <w:lang w:val="es-419"/>
        </w:rPr>
        <w:t>Fecha de elaboración de este documento</w:t>
      </w:r>
      <w:bookmarkEnd w:id="6"/>
      <w:r w:rsidR="00E65517" w:rsidRPr="00EF48E5">
        <w:rPr>
          <w:rFonts w:cstheme="minorHAnsi"/>
          <w:b/>
          <w:lang w:val="es-419"/>
        </w:rPr>
        <w:t xml:space="preserve">: </w:t>
      </w:r>
      <w:r w:rsidR="00E65517" w:rsidRPr="00EF48E5">
        <w:rPr>
          <w:rFonts w:cstheme="minorHAnsi"/>
          <w:bCs/>
          <w:lang w:val="es-419"/>
        </w:rPr>
        <w:t>junio de 2021</w:t>
      </w:r>
    </w:p>
    <w:p w14:paraId="6BEFD8F2" w14:textId="77777777" w:rsidR="008A2777" w:rsidRPr="00EF48E5" w:rsidRDefault="008A2777" w:rsidP="008A2777">
      <w:pPr>
        <w:pStyle w:val="ListParagraph"/>
        <w:spacing w:after="0"/>
        <w:ind w:left="360"/>
        <w:jc w:val="both"/>
        <w:rPr>
          <w:rFonts w:cstheme="minorHAnsi"/>
          <w:lang w:val="es-419"/>
        </w:rPr>
      </w:pPr>
    </w:p>
    <w:p w14:paraId="6B62A63C" w14:textId="778516A2" w:rsidR="008A2777" w:rsidRPr="00EF48E5" w:rsidRDefault="008A2777" w:rsidP="003D2806">
      <w:pPr>
        <w:pStyle w:val="Heading1"/>
        <w:numPr>
          <w:ilvl w:val="0"/>
          <w:numId w:val="1"/>
        </w:numPr>
        <w:rPr>
          <w:lang w:val="es-419"/>
        </w:rPr>
      </w:pPr>
      <w:bookmarkStart w:id="7" w:name="_Toc100398992"/>
      <w:r w:rsidRPr="00EF48E5">
        <w:rPr>
          <w:lang w:val="es-419"/>
        </w:rPr>
        <w:t>Introducción</w:t>
      </w:r>
      <w:bookmarkEnd w:id="7"/>
    </w:p>
    <w:p w14:paraId="5C9EDAE9" w14:textId="77777777" w:rsidR="00171E25" w:rsidRPr="00EF48E5" w:rsidRDefault="00171E25" w:rsidP="00171E25">
      <w:pPr>
        <w:pStyle w:val="ListParagraph"/>
        <w:rPr>
          <w:rFonts w:cstheme="minorHAnsi"/>
          <w:lang w:val="es-419"/>
        </w:rPr>
      </w:pPr>
    </w:p>
    <w:p w14:paraId="1262352E" w14:textId="1278862C" w:rsidR="00171E25" w:rsidRPr="00EF48E5" w:rsidRDefault="003D6165" w:rsidP="00FD67FC">
      <w:pPr>
        <w:pStyle w:val="ListParagraph"/>
        <w:spacing w:after="0"/>
        <w:ind w:left="360"/>
        <w:jc w:val="both"/>
        <w:rPr>
          <w:lang w:val="es-419"/>
        </w:rPr>
      </w:pPr>
      <w:r w:rsidRPr="00EF48E5">
        <w:rPr>
          <w:lang w:val="es-419"/>
        </w:rPr>
        <w:t xml:space="preserve">CANARI </w:t>
      </w:r>
      <w:r w:rsidR="00F24154" w:rsidRPr="00EF48E5">
        <w:rPr>
          <w:lang w:val="es-419"/>
        </w:rPr>
        <w:t>fungi</w:t>
      </w:r>
      <w:r w:rsidRPr="00EF48E5">
        <w:rPr>
          <w:lang w:val="es-419"/>
        </w:rPr>
        <w:t xml:space="preserve">ó como Equipo de Implementación Regional (RIT) para la primera inversión del CEPF en el </w:t>
      </w:r>
      <w:proofErr w:type="spellStart"/>
      <w:r w:rsidRPr="00EF48E5">
        <w:rPr>
          <w:lang w:val="es-419"/>
        </w:rPr>
        <w:t>Hotspot</w:t>
      </w:r>
      <w:proofErr w:type="spellEnd"/>
      <w:r w:rsidRPr="00EF48E5">
        <w:rPr>
          <w:lang w:val="es-419"/>
        </w:rPr>
        <w:t xml:space="preserve"> de Biodiversidad de las Islas del Caribe de 2010 a 2016. Al implementar esta segunda fase de la inversión del CEPF en la región, CANARI se basará en los resultados y las lecciones aprendidas de la primera fase</w:t>
      </w:r>
      <w:r w:rsidR="00AB3E4B" w:rsidRPr="00EF48E5">
        <w:rPr>
          <w:lang w:val="es-419"/>
        </w:rPr>
        <w:t xml:space="preserve"> </w:t>
      </w:r>
      <w:r w:rsidRPr="00EF48E5">
        <w:rPr>
          <w:lang w:val="es-419"/>
        </w:rPr>
        <w:t>para apoyar el enfoque del CEPF de otorgamiento de subvenciones combinado con desarrollo de capacidades para permitir que una variedad de organizaciones de la sociedad civil (OSC) locales, nacionales, regionales e internacionales accedan a financiamiento para apoyar acciones críticas de conservación y fortalecer estas OSC y fomentar alianzas y redes para</w:t>
      </w:r>
      <w:r w:rsidR="00356767" w:rsidRPr="00EF48E5">
        <w:rPr>
          <w:lang w:val="es-419"/>
        </w:rPr>
        <w:t xml:space="preserve"> lograr</w:t>
      </w:r>
      <w:r w:rsidRPr="00EF48E5">
        <w:rPr>
          <w:lang w:val="es-419"/>
        </w:rPr>
        <w:t xml:space="preserve"> impacto. Este proyecto también desempeñará un papel importante en el apoyo a los esfuerzos de la Secretaría del CEPF en el seguimiento, la evaluación y el aprendizaje a nivel de </w:t>
      </w:r>
      <w:proofErr w:type="spellStart"/>
      <w:r w:rsidRPr="00EF48E5">
        <w:rPr>
          <w:lang w:val="es-419"/>
        </w:rPr>
        <w:t>subdonación</w:t>
      </w:r>
      <w:proofErr w:type="spellEnd"/>
      <w:r w:rsidRPr="00EF48E5">
        <w:rPr>
          <w:lang w:val="es-419"/>
        </w:rPr>
        <w:t xml:space="preserve"> y cartera.</w:t>
      </w:r>
    </w:p>
    <w:p w14:paraId="2BA4F4EF" w14:textId="725549DD" w:rsidR="00B11558" w:rsidRPr="00EF48E5" w:rsidRDefault="00B11558" w:rsidP="00171E25">
      <w:pPr>
        <w:pStyle w:val="ListParagraph"/>
        <w:spacing w:after="0"/>
        <w:ind w:left="360"/>
        <w:jc w:val="both"/>
        <w:rPr>
          <w:lang w:val="es-419"/>
        </w:rPr>
      </w:pPr>
    </w:p>
    <w:p w14:paraId="4CFFA9B5" w14:textId="1EE46A90" w:rsidR="00B11558" w:rsidRPr="00EF48E5" w:rsidRDefault="00B11558" w:rsidP="00171E25">
      <w:pPr>
        <w:pStyle w:val="ListParagraph"/>
        <w:spacing w:after="0"/>
        <w:ind w:left="360"/>
        <w:jc w:val="both"/>
        <w:rPr>
          <w:lang w:val="es-419"/>
        </w:rPr>
      </w:pPr>
      <w:r w:rsidRPr="00EF48E5">
        <w:rPr>
          <w:lang w:val="es-419"/>
        </w:rPr>
        <w:t xml:space="preserve">Todas las actividades se guiarán por el marco estratégico descrito en el Perfil del Ecosistema de 2019 para el </w:t>
      </w:r>
      <w:proofErr w:type="spellStart"/>
      <w:r w:rsidRPr="00EF48E5">
        <w:rPr>
          <w:lang w:val="es-419"/>
        </w:rPr>
        <w:t>Hotspot</w:t>
      </w:r>
      <w:proofErr w:type="spellEnd"/>
      <w:r w:rsidRPr="00EF48E5">
        <w:rPr>
          <w:lang w:val="es-419"/>
        </w:rPr>
        <w:t xml:space="preserve"> de Biodiversidad de las Islas del Caribe y de conformidad con el Manual Operativo del Proyecto del CEPF y otros documentos, políticas y procedimientos clave relevantes para el </w:t>
      </w:r>
      <w:proofErr w:type="spellStart"/>
      <w:r w:rsidRPr="00EF48E5">
        <w:rPr>
          <w:lang w:val="es-419"/>
        </w:rPr>
        <w:t>hotspot</w:t>
      </w:r>
      <w:proofErr w:type="spellEnd"/>
      <w:r w:rsidRPr="00EF48E5">
        <w:rPr>
          <w:lang w:val="es-419"/>
        </w:rPr>
        <w:t xml:space="preserve"> proporcionados por la Secretaría del CEPF y el Banco </w:t>
      </w:r>
      <w:proofErr w:type="gramStart"/>
      <w:r w:rsidRPr="00EF48E5">
        <w:rPr>
          <w:lang w:val="es-419"/>
        </w:rPr>
        <w:t>Mundial.</w:t>
      </w:r>
      <w:r w:rsidR="00ED622F">
        <w:rPr>
          <w:lang w:val="es-419"/>
        </w:rPr>
        <w:t>.</w:t>
      </w:r>
      <w:proofErr w:type="gramEnd"/>
      <w:r w:rsidRPr="00EF48E5">
        <w:rPr>
          <w:lang w:val="es-419"/>
        </w:rPr>
        <w:t xml:space="preserve"> Estos incluyen, entre otros, el Documento de evaluación del proyecto (PAD), el Manual operativo del proyecto (POM), el Marco de gestión ambiental y social (ESMF), el Plan de compromiso ambiental y social (ESCP), un Plan de participación de las partes interesadas (SEP), Gestión laboral Procedimientos (LMP), Plan de Salud y Seguridad, y un Manual Operativo de </w:t>
      </w:r>
      <w:proofErr w:type="spellStart"/>
      <w:r w:rsidRPr="00EF48E5">
        <w:rPr>
          <w:lang w:val="es-419"/>
        </w:rPr>
        <w:t>Sub-subvenciones</w:t>
      </w:r>
      <w:proofErr w:type="spellEnd"/>
      <w:r w:rsidRPr="00EF48E5">
        <w:rPr>
          <w:lang w:val="es-419"/>
        </w:rPr>
        <w:t>.</w:t>
      </w:r>
    </w:p>
    <w:p w14:paraId="54BA45AB" w14:textId="090F8A84" w:rsidR="0042047E" w:rsidRPr="00EF48E5" w:rsidRDefault="0042047E" w:rsidP="00171E25">
      <w:pPr>
        <w:pStyle w:val="ListParagraph"/>
        <w:spacing w:after="0"/>
        <w:ind w:left="360"/>
        <w:jc w:val="both"/>
        <w:rPr>
          <w:lang w:val="es-419"/>
        </w:rPr>
      </w:pPr>
    </w:p>
    <w:p w14:paraId="344191D1" w14:textId="42175BCA" w:rsidR="0042047E" w:rsidRPr="00EF48E5" w:rsidRDefault="0042047E" w:rsidP="00171E25">
      <w:pPr>
        <w:pStyle w:val="ListParagraph"/>
        <w:spacing w:after="0"/>
        <w:ind w:left="360"/>
        <w:jc w:val="both"/>
        <w:rPr>
          <w:lang w:val="es-419"/>
        </w:rPr>
      </w:pPr>
      <w:r w:rsidRPr="00EF48E5">
        <w:rPr>
          <w:lang w:val="es-419"/>
        </w:rPr>
        <w:t>El proyecto se implementará a través de 8 componentes interrelacionados que reflejan los Términos de referencia del CEPF para los RIT:</w:t>
      </w:r>
    </w:p>
    <w:p w14:paraId="2DB5F680" w14:textId="77777777" w:rsidR="000914AA" w:rsidRPr="00EF48E5" w:rsidRDefault="000914AA" w:rsidP="0042047E">
      <w:pPr>
        <w:pStyle w:val="ListParagraph"/>
        <w:numPr>
          <w:ilvl w:val="0"/>
          <w:numId w:val="7"/>
        </w:numPr>
        <w:spacing w:after="0"/>
        <w:jc w:val="both"/>
        <w:rPr>
          <w:rFonts w:cstheme="minorHAnsi"/>
          <w:lang w:val="es-419"/>
        </w:rPr>
      </w:pPr>
      <w:r w:rsidRPr="00EF48E5">
        <w:rPr>
          <w:rFonts w:cstheme="minorHAnsi"/>
          <w:color w:val="000000"/>
          <w:shd w:val="clear" w:color="auto" w:fill="FFFFFF"/>
          <w:lang w:val="es-419"/>
        </w:rPr>
        <w:t xml:space="preserve">Coordinar la inversión del CEPF en el </w:t>
      </w:r>
      <w:proofErr w:type="spellStart"/>
      <w:r w:rsidRPr="00EF48E5">
        <w:rPr>
          <w:rFonts w:cstheme="minorHAnsi"/>
          <w:color w:val="000000"/>
          <w:shd w:val="clear" w:color="auto" w:fill="FFFFFF"/>
          <w:lang w:val="es-419"/>
        </w:rPr>
        <w:t>Hotspot</w:t>
      </w:r>
      <w:proofErr w:type="spellEnd"/>
      <w:r w:rsidRPr="00EF48E5">
        <w:rPr>
          <w:rFonts w:cstheme="minorHAnsi"/>
          <w:color w:val="000000"/>
          <w:shd w:val="clear" w:color="auto" w:fill="FFFFFF"/>
          <w:lang w:val="es-419"/>
        </w:rPr>
        <w:t xml:space="preserve"> de Biodiversidad de las Islas del Caribe</w:t>
      </w:r>
    </w:p>
    <w:p w14:paraId="1B52195C" w14:textId="77777777" w:rsidR="000914AA" w:rsidRPr="00EF48E5" w:rsidRDefault="000914AA" w:rsidP="0042047E">
      <w:pPr>
        <w:pStyle w:val="ListParagraph"/>
        <w:numPr>
          <w:ilvl w:val="0"/>
          <w:numId w:val="7"/>
        </w:numPr>
        <w:spacing w:after="0"/>
        <w:jc w:val="both"/>
        <w:rPr>
          <w:rFonts w:cstheme="minorHAnsi"/>
          <w:lang w:val="es-419"/>
        </w:rPr>
      </w:pPr>
      <w:r w:rsidRPr="00EF48E5">
        <w:rPr>
          <w:rFonts w:cstheme="minorHAnsi"/>
          <w:color w:val="000000"/>
          <w:shd w:val="clear" w:color="auto" w:fill="FFFFFF"/>
          <w:lang w:val="es-419"/>
        </w:rPr>
        <w:t>Apoyar la integración de la biodiversidad en las políticas públicas y las prácticas comerciales del sector privado.</w:t>
      </w:r>
    </w:p>
    <w:p w14:paraId="185D7F06" w14:textId="5FE60204" w:rsidR="000914AA" w:rsidRPr="00EF48E5" w:rsidRDefault="000914AA" w:rsidP="0042047E">
      <w:pPr>
        <w:pStyle w:val="ListParagraph"/>
        <w:numPr>
          <w:ilvl w:val="0"/>
          <w:numId w:val="7"/>
        </w:numPr>
        <w:spacing w:after="0"/>
        <w:jc w:val="both"/>
        <w:rPr>
          <w:rFonts w:cstheme="minorHAnsi"/>
          <w:lang w:val="es-419"/>
        </w:rPr>
      </w:pPr>
      <w:r w:rsidRPr="00EF48E5">
        <w:rPr>
          <w:rFonts w:cstheme="minorHAnsi"/>
          <w:color w:val="000000"/>
          <w:shd w:val="clear" w:color="auto" w:fill="FFFFFF"/>
          <w:lang w:val="es-419"/>
        </w:rPr>
        <w:t xml:space="preserve">Comunicar la inversión del CEPF en todo el </w:t>
      </w:r>
      <w:proofErr w:type="spellStart"/>
      <w:r w:rsidRPr="00EF48E5">
        <w:rPr>
          <w:rFonts w:cstheme="minorHAnsi"/>
          <w:color w:val="000000"/>
          <w:shd w:val="clear" w:color="auto" w:fill="FFFFFF"/>
          <w:lang w:val="es-419"/>
        </w:rPr>
        <w:t>Hotspot</w:t>
      </w:r>
      <w:proofErr w:type="spellEnd"/>
      <w:r w:rsidRPr="00EF48E5">
        <w:rPr>
          <w:rFonts w:cstheme="minorHAnsi"/>
          <w:color w:val="000000"/>
          <w:shd w:val="clear" w:color="auto" w:fill="FFFFFF"/>
          <w:lang w:val="es-419"/>
        </w:rPr>
        <w:t xml:space="preserve"> de Biodiversidad de las Islas del Caribe</w:t>
      </w:r>
    </w:p>
    <w:p w14:paraId="15E84AAB" w14:textId="44045A02" w:rsidR="000914AA" w:rsidRPr="00EF48E5" w:rsidRDefault="000914AA" w:rsidP="0042047E">
      <w:pPr>
        <w:pStyle w:val="ListParagraph"/>
        <w:numPr>
          <w:ilvl w:val="0"/>
          <w:numId w:val="7"/>
        </w:numPr>
        <w:spacing w:after="0"/>
        <w:jc w:val="both"/>
        <w:rPr>
          <w:rFonts w:cstheme="minorHAnsi"/>
          <w:lang w:val="es-419"/>
        </w:rPr>
      </w:pPr>
      <w:r w:rsidRPr="00EF48E5">
        <w:rPr>
          <w:rFonts w:cstheme="minorHAnsi"/>
          <w:color w:val="000000"/>
          <w:shd w:val="clear" w:color="auto" w:fill="FFFFFF"/>
          <w:lang w:val="es-419"/>
        </w:rPr>
        <w:t>Desarrollar la capacidad de la sociedad</w:t>
      </w:r>
    </w:p>
    <w:p w14:paraId="75FDC48F" w14:textId="2939D278" w:rsidR="000914AA" w:rsidRPr="00EF48E5" w:rsidRDefault="000914AA" w:rsidP="0042047E">
      <w:pPr>
        <w:pStyle w:val="ListParagraph"/>
        <w:numPr>
          <w:ilvl w:val="0"/>
          <w:numId w:val="7"/>
        </w:numPr>
        <w:spacing w:after="0"/>
        <w:jc w:val="both"/>
        <w:rPr>
          <w:rFonts w:cstheme="minorHAnsi"/>
          <w:lang w:val="es-419"/>
        </w:rPr>
      </w:pPr>
      <w:r w:rsidRPr="00EF48E5">
        <w:rPr>
          <w:rFonts w:cstheme="minorHAnsi"/>
          <w:color w:val="000000"/>
          <w:shd w:val="clear" w:color="auto" w:fill="FFFFFF"/>
          <w:lang w:val="es-419"/>
        </w:rPr>
        <w:t>Apoyar el proceso de la Secretaría del CEPF para la solicitud y revisión de propuestas para subvenciones grandes (por encima de un umbral de $ 50,000)</w:t>
      </w:r>
    </w:p>
    <w:p w14:paraId="2A4C1026" w14:textId="3DB27EFB" w:rsidR="000914AA" w:rsidRPr="00EF48E5" w:rsidRDefault="000914AA" w:rsidP="0042047E">
      <w:pPr>
        <w:pStyle w:val="ListParagraph"/>
        <w:numPr>
          <w:ilvl w:val="0"/>
          <w:numId w:val="7"/>
        </w:numPr>
        <w:spacing w:after="0"/>
        <w:jc w:val="both"/>
        <w:rPr>
          <w:rFonts w:cstheme="minorHAnsi"/>
          <w:lang w:val="es-419"/>
        </w:rPr>
      </w:pPr>
      <w:r w:rsidRPr="00EF48E5">
        <w:rPr>
          <w:rFonts w:cstheme="minorHAnsi"/>
          <w:color w:val="000000"/>
          <w:shd w:val="clear" w:color="auto" w:fill="FFFFFF"/>
          <w:lang w:val="es-419"/>
        </w:rPr>
        <w:t>Administrar un programa de pequeñas subvenciones (hasta $ 50,000) de conformidad con el manual de operación</w:t>
      </w:r>
    </w:p>
    <w:p w14:paraId="03BE4891" w14:textId="140D6F1E" w:rsidR="000914AA" w:rsidRPr="00EF48E5" w:rsidRDefault="000914AA" w:rsidP="0042047E">
      <w:pPr>
        <w:pStyle w:val="ListParagraph"/>
        <w:numPr>
          <w:ilvl w:val="0"/>
          <w:numId w:val="7"/>
        </w:numPr>
        <w:spacing w:after="0"/>
        <w:jc w:val="both"/>
        <w:rPr>
          <w:rFonts w:cstheme="minorHAnsi"/>
          <w:lang w:val="es-419"/>
        </w:rPr>
      </w:pPr>
      <w:r w:rsidRPr="00EF48E5">
        <w:rPr>
          <w:rFonts w:cstheme="minorHAnsi"/>
          <w:color w:val="000000"/>
          <w:shd w:val="clear" w:color="auto" w:fill="FFFFFF"/>
          <w:lang w:val="es-419"/>
        </w:rPr>
        <w:t>Supervisar y evaluar el impacto de las subvenciones grandes y pequeñas del CEPF</w:t>
      </w:r>
    </w:p>
    <w:p w14:paraId="626C8BF7" w14:textId="3F3A5233" w:rsidR="000914AA" w:rsidRPr="00EF48E5" w:rsidRDefault="000914AA" w:rsidP="0042047E">
      <w:pPr>
        <w:pStyle w:val="ListParagraph"/>
        <w:numPr>
          <w:ilvl w:val="0"/>
          <w:numId w:val="7"/>
        </w:numPr>
        <w:spacing w:after="0"/>
        <w:jc w:val="both"/>
        <w:rPr>
          <w:rFonts w:cstheme="minorHAnsi"/>
          <w:lang w:val="es-419"/>
        </w:rPr>
      </w:pPr>
      <w:r w:rsidRPr="00EF48E5">
        <w:rPr>
          <w:rFonts w:cstheme="minorHAnsi"/>
          <w:color w:val="000000"/>
          <w:shd w:val="clear" w:color="auto" w:fill="FFFFFF"/>
          <w:lang w:val="es-419"/>
        </w:rPr>
        <w:t xml:space="preserve">Apoyar a la Secretaría del CEPF para </w:t>
      </w:r>
      <w:r w:rsidRPr="00BA436D">
        <w:rPr>
          <w:rFonts w:cstheme="minorHAnsi"/>
          <w:color w:val="000000"/>
          <w:shd w:val="clear" w:color="auto" w:fill="FFFFFF"/>
          <w:lang w:val="es-419"/>
        </w:rPr>
        <w:t>monitorear la cartera de</w:t>
      </w:r>
      <w:r w:rsidRPr="00EF48E5">
        <w:rPr>
          <w:rFonts w:cstheme="minorHAnsi"/>
          <w:color w:val="000000"/>
          <w:shd w:val="clear" w:color="auto" w:fill="FFFFFF"/>
          <w:lang w:val="es-419"/>
        </w:rPr>
        <w:t xml:space="preserve"> subvenciones</w:t>
      </w:r>
      <w:r w:rsidR="00BA436D">
        <w:rPr>
          <w:rFonts w:cstheme="minorHAnsi"/>
          <w:color w:val="000000"/>
          <w:shd w:val="clear" w:color="auto" w:fill="FFFFFF"/>
          <w:lang w:val="es-419"/>
        </w:rPr>
        <w:t xml:space="preserve"> grandes</w:t>
      </w:r>
      <w:r w:rsidRPr="00EF48E5">
        <w:rPr>
          <w:rFonts w:cstheme="minorHAnsi"/>
          <w:color w:val="000000"/>
          <w:shd w:val="clear" w:color="auto" w:fill="FFFFFF"/>
          <w:lang w:val="es-419"/>
        </w:rPr>
        <w:t xml:space="preserve"> y asegurar el cumplimiento de los términos de financiamiento del CEPF</w:t>
      </w:r>
    </w:p>
    <w:p w14:paraId="000113F3" w14:textId="77777777" w:rsidR="000914AA" w:rsidRPr="00EF48E5" w:rsidRDefault="000914AA" w:rsidP="000567E5">
      <w:pPr>
        <w:spacing w:after="0"/>
        <w:jc w:val="both"/>
        <w:rPr>
          <w:rFonts w:cstheme="minorHAnsi"/>
          <w:lang w:val="es-419"/>
        </w:rPr>
      </w:pPr>
    </w:p>
    <w:p w14:paraId="42904269" w14:textId="427367B4" w:rsidR="008A2777" w:rsidRPr="00EF48E5" w:rsidRDefault="000914AA" w:rsidP="000914AA">
      <w:pPr>
        <w:spacing w:after="0"/>
        <w:jc w:val="both"/>
        <w:rPr>
          <w:rFonts w:cstheme="minorHAnsi"/>
          <w:lang w:val="es-419"/>
        </w:rPr>
      </w:pPr>
      <w:r w:rsidRPr="00EF48E5">
        <w:rPr>
          <w:lang w:val="es-419"/>
        </w:rPr>
        <w:t xml:space="preserve">El RIT cumplirá con el ESMF y también construirá o fortalecerá la capacidad de los beneficiarios, según sea necesario, para cumplir con los estándares ambientales y sociales clave y la política de género del CEPF a través de capacitación y entrenamiento </w:t>
      </w:r>
      <w:r w:rsidR="0044588A" w:rsidRPr="00EF48E5">
        <w:rPr>
          <w:lang w:val="es-419"/>
        </w:rPr>
        <w:t xml:space="preserve">individual </w:t>
      </w:r>
      <w:r w:rsidRPr="00EF48E5">
        <w:rPr>
          <w:lang w:val="es-419"/>
        </w:rPr>
        <w:t>a través de talleres virtuales</w:t>
      </w:r>
      <w:r w:rsidR="0044588A" w:rsidRPr="00EF48E5">
        <w:rPr>
          <w:lang w:val="es-419"/>
        </w:rPr>
        <w:t xml:space="preserve"> y </w:t>
      </w:r>
      <w:r w:rsidRPr="00EF48E5">
        <w:rPr>
          <w:lang w:val="es-419"/>
        </w:rPr>
        <w:t>seminarios web</w:t>
      </w:r>
      <w:r w:rsidR="0044588A" w:rsidRPr="00EF48E5">
        <w:rPr>
          <w:lang w:val="es-419"/>
        </w:rPr>
        <w:t>.</w:t>
      </w:r>
    </w:p>
    <w:p w14:paraId="54782390" w14:textId="1C3E2E78" w:rsidR="00A53EFE" w:rsidRPr="00EF48E5" w:rsidRDefault="008A2777" w:rsidP="003D2806">
      <w:pPr>
        <w:pStyle w:val="Heading1"/>
        <w:numPr>
          <w:ilvl w:val="0"/>
          <w:numId w:val="1"/>
        </w:numPr>
        <w:rPr>
          <w:lang w:val="es-419"/>
        </w:rPr>
      </w:pPr>
      <w:bookmarkStart w:id="8" w:name="_Toc100398993"/>
      <w:r w:rsidRPr="00EF48E5">
        <w:rPr>
          <w:lang w:val="es-419"/>
        </w:rPr>
        <w:t>Resumen de actividades anteriores de participación de las partes interesadas</w:t>
      </w:r>
      <w:bookmarkEnd w:id="8"/>
    </w:p>
    <w:p w14:paraId="1C99EF6A" w14:textId="1DB38C1A" w:rsidR="00A53EFE" w:rsidRPr="00EF48E5" w:rsidRDefault="00A53EFE" w:rsidP="00A53EFE">
      <w:pPr>
        <w:spacing w:after="0"/>
        <w:jc w:val="both"/>
        <w:rPr>
          <w:rFonts w:cstheme="minorHAnsi"/>
          <w:lang w:val="es-419"/>
        </w:rPr>
      </w:pPr>
    </w:p>
    <w:p w14:paraId="0C128329" w14:textId="60AB32F6" w:rsidR="003F723F" w:rsidRPr="00EF48E5" w:rsidRDefault="003F723F" w:rsidP="00A53EFE">
      <w:pPr>
        <w:spacing w:after="0"/>
        <w:jc w:val="both"/>
        <w:rPr>
          <w:rFonts w:cstheme="minorHAnsi"/>
          <w:b/>
          <w:bCs/>
          <w:lang w:val="es-419"/>
        </w:rPr>
      </w:pPr>
      <w:r w:rsidRPr="00EF48E5">
        <w:rPr>
          <w:rFonts w:cstheme="minorHAnsi"/>
          <w:b/>
          <w:bCs/>
          <w:lang w:val="es-419"/>
        </w:rPr>
        <w:t>Consultas a las partes interesadas sobre el perfil del ecosistema</w:t>
      </w:r>
    </w:p>
    <w:p w14:paraId="22CEFCC8" w14:textId="77777777" w:rsidR="00914700" w:rsidRPr="00EF48E5" w:rsidRDefault="00914700" w:rsidP="00A53EFE">
      <w:pPr>
        <w:spacing w:after="0"/>
        <w:jc w:val="both"/>
        <w:rPr>
          <w:rFonts w:cstheme="minorHAnsi"/>
          <w:b/>
          <w:bCs/>
          <w:lang w:val="es-419"/>
        </w:rPr>
      </w:pPr>
    </w:p>
    <w:p w14:paraId="1329C960" w14:textId="202D3B16" w:rsidR="00673C71" w:rsidRPr="00EF48E5" w:rsidRDefault="00A53EFE" w:rsidP="004751EE">
      <w:pPr>
        <w:spacing w:after="0" w:line="240" w:lineRule="auto"/>
        <w:contextualSpacing/>
        <w:jc w:val="both"/>
        <w:rPr>
          <w:lang w:val="es-419"/>
        </w:rPr>
      </w:pPr>
      <w:r w:rsidRPr="00EF48E5">
        <w:rPr>
          <w:rFonts w:cstheme="minorHAnsi"/>
          <w:lang w:val="es-419"/>
        </w:rPr>
        <w:t xml:space="preserve">Desde finales de 2016 hasta principios de 2020, CANARI lideró el proceso de actualización del Perfil del Ecosistema para guiar la segunda inversión del CEPF en el </w:t>
      </w:r>
      <w:proofErr w:type="spellStart"/>
      <w:r w:rsidRPr="00EF48E5">
        <w:rPr>
          <w:rFonts w:cstheme="minorHAnsi"/>
          <w:lang w:val="es-419"/>
        </w:rPr>
        <w:t>Hotspot</w:t>
      </w:r>
      <w:proofErr w:type="spellEnd"/>
      <w:r w:rsidRPr="00EF48E5">
        <w:rPr>
          <w:rFonts w:cstheme="minorHAnsi"/>
          <w:lang w:val="es-419"/>
        </w:rPr>
        <w:t xml:space="preserve"> de Biodiversidad de las Islas del Caribe, que se </w:t>
      </w:r>
      <w:r w:rsidR="006D3C7D" w:rsidRPr="00EF48E5">
        <w:rPr>
          <w:lang w:val="es-419"/>
        </w:rPr>
        <w:t>basa en un análisis situacional del contexto político, institucional y socioeconómico para la conservación.</w:t>
      </w:r>
      <w:r w:rsidR="007328FC" w:rsidRPr="00EF48E5">
        <w:rPr>
          <w:lang w:val="es-419"/>
        </w:rPr>
        <w:t xml:space="preserve"> </w:t>
      </w:r>
      <w:r w:rsidRPr="00EF48E5">
        <w:rPr>
          <w:rFonts w:cstheme="minorHAnsi"/>
          <w:lang w:val="es-419"/>
        </w:rPr>
        <w:t xml:space="preserve">En colaboración con un equipo integrado por BirdLife International, la Unión Internacional </w:t>
      </w:r>
      <w:r w:rsidRPr="00EF48E5">
        <w:rPr>
          <w:rFonts w:cstheme="minorHAnsi"/>
          <w:lang w:val="es-419"/>
        </w:rPr>
        <w:lastRenderedPageBreak/>
        <w:t xml:space="preserve">para la Conservación de la Naturaleza y los Recursos Naturales (UICN) y el Jardín Botánico de Nueva York (NYBG), CANARI involucró a 175 partes interesadas de 94 organizaciones dentro de la sociedad civil, el gobierno, el sector privado y la comunidad de donantes en un proceso consultivo que definió los parámetros de la segunda inversión del CEPF en el Caribe. </w:t>
      </w:r>
      <w:r w:rsidR="008D5B08" w:rsidRPr="00EF48E5">
        <w:rPr>
          <w:lang w:val="es-419"/>
        </w:rPr>
        <w:t xml:space="preserve">El proceso incorporó la experiencia de las partes interesadas regionales a través de tres talleres nacionales (en República Dominicana, Haití y Jamaica) y una reunión subregional en línea para Las Bahamas y el Caribe oriental, grupos de trabajo nacionales de KBA y una consulta regional. </w:t>
      </w:r>
      <w:r w:rsidR="004667D2" w:rsidRPr="00EF48E5">
        <w:rPr>
          <w:lang w:val="es-419"/>
        </w:rPr>
        <w:t xml:space="preserve">Las consultas con las partes interesadas que tuvieron lugar durante la preparación del Perfil del Ecosistema para el </w:t>
      </w:r>
      <w:proofErr w:type="spellStart"/>
      <w:r w:rsidR="004667D2" w:rsidRPr="00EF48E5">
        <w:rPr>
          <w:lang w:val="es-419"/>
        </w:rPr>
        <w:t>Hotspot</w:t>
      </w:r>
      <w:proofErr w:type="spellEnd"/>
      <w:r w:rsidR="004667D2" w:rsidRPr="00EF48E5">
        <w:rPr>
          <w:lang w:val="es-419"/>
        </w:rPr>
        <w:t xml:space="preserve"> de las Islas del Caribe se describen en el Capítulo 2 del perfil.</w:t>
      </w:r>
      <w:r w:rsidR="004667D2" w:rsidRPr="00EF48E5">
        <w:rPr>
          <w:rStyle w:val="FootnoteReference"/>
          <w:lang w:val="es-419"/>
        </w:rPr>
        <w:footnoteReference w:id="1"/>
      </w:r>
      <w:r w:rsidR="0044588A" w:rsidRPr="00EF48E5">
        <w:rPr>
          <w:lang w:val="es-419"/>
        </w:rPr>
        <w:t xml:space="preserve"> </w:t>
      </w:r>
      <w:r w:rsidR="004667D2" w:rsidRPr="00EF48E5">
        <w:rPr>
          <w:lang w:val="es-419"/>
        </w:rPr>
        <w:t>La lista de organizaciones consultadas se presenta en el Anexo 1.</w:t>
      </w:r>
    </w:p>
    <w:p w14:paraId="45FFE816" w14:textId="05777793" w:rsidR="00C17C92" w:rsidRPr="00EF48E5" w:rsidRDefault="00C17C92" w:rsidP="004751EE">
      <w:pPr>
        <w:spacing w:after="0" w:line="240" w:lineRule="auto"/>
        <w:contextualSpacing/>
        <w:jc w:val="both"/>
        <w:rPr>
          <w:lang w:val="es-419"/>
        </w:rPr>
      </w:pPr>
    </w:p>
    <w:p w14:paraId="675CCFE5" w14:textId="336A4A31" w:rsidR="00C17C92" w:rsidRPr="00EF48E5" w:rsidRDefault="00C17C92" w:rsidP="004751EE">
      <w:pPr>
        <w:spacing w:after="0" w:line="240" w:lineRule="auto"/>
        <w:contextualSpacing/>
        <w:jc w:val="both"/>
        <w:rPr>
          <w:lang w:val="es-419"/>
        </w:rPr>
      </w:pPr>
      <w:r w:rsidRPr="00EF48E5">
        <w:rPr>
          <w:lang w:val="es-419"/>
        </w:rPr>
        <w:t xml:space="preserve">Los talleres nacionales y una reunión subregional en línea se realizaron durante junio y julio de 2017. El taller en República Dominicana fue coordinado por Fondo </w:t>
      </w:r>
      <w:proofErr w:type="gramStart"/>
      <w:r w:rsidRPr="00EF48E5">
        <w:rPr>
          <w:lang w:val="es-419"/>
        </w:rPr>
        <w:t>Pro Naturaleza</w:t>
      </w:r>
      <w:proofErr w:type="gramEnd"/>
      <w:r w:rsidRPr="00EF48E5">
        <w:rPr>
          <w:lang w:val="es-419"/>
        </w:rPr>
        <w:t xml:space="preserve"> (PRONATURA) en asociación con la Universidad Nacional Pedro Henríquez Ureña (UNPHU). La Société Audubon coordinó la reunión en Haití, mientras que el taller de Jamaica fue organizado por la Fundación </w:t>
      </w:r>
      <w:proofErr w:type="spellStart"/>
      <w:r w:rsidRPr="00EF48E5">
        <w:rPr>
          <w:lang w:val="es-419"/>
        </w:rPr>
        <w:t>Caribbean</w:t>
      </w:r>
      <w:proofErr w:type="spellEnd"/>
      <w:r w:rsidRPr="00EF48E5">
        <w:rPr>
          <w:lang w:val="es-419"/>
        </w:rPr>
        <w:t xml:space="preserve"> </w:t>
      </w:r>
      <w:proofErr w:type="spellStart"/>
      <w:r w:rsidRPr="00EF48E5">
        <w:rPr>
          <w:lang w:val="es-419"/>
        </w:rPr>
        <w:t>Coastal</w:t>
      </w:r>
      <w:proofErr w:type="spellEnd"/>
      <w:r w:rsidRPr="00EF48E5">
        <w:rPr>
          <w:lang w:val="es-419"/>
        </w:rPr>
        <w:t xml:space="preserve"> </w:t>
      </w:r>
      <w:proofErr w:type="spellStart"/>
      <w:r w:rsidRPr="00EF48E5">
        <w:rPr>
          <w:lang w:val="es-419"/>
        </w:rPr>
        <w:t>Area</w:t>
      </w:r>
      <w:proofErr w:type="spellEnd"/>
      <w:r w:rsidRPr="00EF48E5">
        <w:rPr>
          <w:lang w:val="es-419"/>
        </w:rPr>
        <w:t xml:space="preserve"> Management (C-CAM), en asociación con el Instituto para el Desarrollo Sostenible de la Universidad de West Indies (Mona). Los grupos de trabajo de expertos nacionales de KBA se convocaron a fines de 2017 y el taller regional en Kingston, Jamaica, se llevó a cabo en enero de 2018 (Tabla 1).</w:t>
      </w:r>
    </w:p>
    <w:p w14:paraId="0FAD190A" w14:textId="7EA642EF" w:rsidR="00D27815" w:rsidRPr="00EF48E5" w:rsidRDefault="00D27815" w:rsidP="004751EE">
      <w:pPr>
        <w:spacing w:after="0" w:line="240" w:lineRule="auto"/>
        <w:contextualSpacing/>
        <w:jc w:val="both"/>
        <w:rPr>
          <w:lang w:val="es-419"/>
        </w:rPr>
      </w:pPr>
    </w:p>
    <w:p w14:paraId="6EA0831E" w14:textId="77777777" w:rsidR="00C17C92" w:rsidRPr="00EF48E5" w:rsidRDefault="00C17C92" w:rsidP="004751EE">
      <w:pPr>
        <w:spacing w:after="0" w:line="240" w:lineRule="auto"/>
        <w:contextualSpacing/>
        <w:jc w:val="both"/>
        <w:rPr>
          <w:b/>
          <w:bCs/>
          <w:lang w:val="es-419"/>
        </w:rPr>
      </w:pPr>
      <w:r w:rsidRPr="00EF48E5">
        <w:rPr>
          <w:b/>
          <w:bCs/>
          <w:lang w:val="es-419"/>
        </w:rPr>
        <w:t xml:space="preserve">Cuadro 1: </w:t>
      </w:r>
      <w:r w:rsidRPr="00EF48E5">
        <w:rPr>
          <w:b/>
          <w:lang w:val="es-419"/>
        </w:rPr>
        <w:t xml:space="preserve">Calendario </w:t>
      </w:r>
      <w:r w:rsidRPr="00EF48E5">
        <w:rPr>
          <w:b/>
          <w:bCs/>
          <w:lang w:val="es-419"/>
        </w:rPr>
        <w:t>de consultas con las partes interesadas sobre el perfil del ecosistema</w:t>
      </w:r>
    </w:p>
    <w:tbl>
      <w:tblPr>
        <w:tblStyle w:val="TableGrid"/>
        <w:tblW w:w="0" w:type="auto"/>
        <w:tblLook w:val="04A0" w:firstRow="1" w:lastRow="0" w:firstColumn="1" w:lastColumn="0" w:noHBand="0" w:noVBand="1"/>
      </w:tblPr>
      <w:tblGrid>
        <w:gridCol w:w="4782"/>
        <w:gridCol w:w="2197"/>
        <w:gridCol w:w="2371"/>
      </w:tblGrid>
      <w:tr w:rsidR="00C17C92" w:rsidRPr="00EF48E5" w14:paraId="3B5D24C6" w14:textId="77777777" w:rsidTr="001B362D">
        <w:trPr>
          <w:trHeight w:val="302"/>
        </w:trPr>
        <w:tc>
          <w:tcPr>
            <w:tcW w:w="5328" w:type="dxa"/>
          </w:tcPr>
          <w:p w14:paraId="1ED30A90" w14:textId="77777777" w:rsidR="00C17C92" w:rsidRPr="00EF48E5" w:rsidRDefault="00C17C92" w:rsidP="004751EE">
            <w:pPr>
              <w:spacing w:line="240" w:lineRule="auto"/>
              <w:contextualSpacing/>
              <w:jc w:val="both"/>
              <w:rPr>
                <w:b/>
                <w:bCs/>
                <w:lang w:val="es-419"/>
              </w:rPr>
            </w:pPr>
            <w:r w:rsidRPr="00EF48E5">
              <w:rPr>
                <w:b/>
                <w:bCs/>
                <w:lang w:val="es-419"/>
              </w:rPr>
              <w:t>Taller</w:t>
            </w:r>
          </w:p>
        </w:tc>
        <w:tc>
          <w:tcPr>
            <w:tcW w:w="2340" w:type="dxa"/>
          </w:tcPr>
          <w:p w14:paraId="2149091C" w14:textId="77777777" w:rsidR="00C17C92" w:rsidRPr="00EF48E5" w:rsidRDefault="00C17C92" w:rsidP="004751EE">
            <w:pPr>
              <w:spacing w:line="240" w:lineRule="auto"/>
              <w:contextualSpacing/>
              <w:jc w:val="both"/>
              <w:rPr>
                <w:b/>
                <w:bCs/>
                <w:lang w:val="es-419"/>
              </w:rPr>
            </w:pPr>
            <w:r w:rsidRPr="00EF48E5">
              <w:rPr>
                <w:b/>
                <w:bCs/>
                <w:lang w:val="es-419"/>
              </w:rPr>
              <w:t>Fecha</w:t>
            </w:r>
          </w:p>
        </w:tc>
        <w:tc>
          <w:tcPr>
            <w:tcW w:w="2520" w:type="dxa"/>
          </w:tcPr>
          <w:p w14:paraId="09EF4600" w14:textId="77777777" w:rsidR="00C17C92" w:rsidRPr="00EF48E5" w:rsidRDefault="00C17C92" w:rsidP="0044588A">
            <w:pPr>
              <w:spacing w:line="240" w:lineRule="auto"/>
              <w:contextualSpacing/>
              <w:rPr>
                <w:b/>
                <w:bCs/>
                <w:lang w:val="es-419"/>
              </w:rPr>
            </w:pPr>
            <w:r w:rsidRPr="00EF48E5">
              <w:rPr>
                <w:b/>
                <w:bCs/>
                <w:lang w:val="es-419"/>
              </w:rPr>
              <w:t>Número de participantes</w:t>
            </w:r>
          </w:p>
        </w:tc>
      </w:tr>
      <w:tr w:rsidR="00C17C92" w:rsidRPr="00EF48E5" w14:paraId="0FBC9D69" w14:textId="77777777" w:rsidTr="001B362D">
        <w:trPr>
          <w:trHeight w:val="302"/>
        </w:trPr>
        <w:tc>
          <w:tcPr>
            <w:tcW w:w="5328" w:type="dxa"/>
          </w:tcPr>
          <w:p w14:paraId="7F58914C" w14:textId="77777777" w:rsidR="00C17C92" w:rsidRPr="00EF48E5" w:rsidRDefault="00C17C92" w:rsidP="004751EE">
            <w:pPr>
              <w:spacing w:line="240" w:lineRule="auto"/>
              <w:contextualSpacing/>
              <w:jc w:val="both"/>
              <w:rPr>
                <w:lang w:val="es-419"/>
              </w:rPr>
            </w:pPr>
            <w:r w:rsidRPr="00EF48E5">
              <w:rPr>
                <w:lang w:val="es-419"/>
              </w:rPr>
              <w:t>Consulta Nacional de República Dominicana</w:t>
            </w:r>
          </w:p>
        </w:tc>
        <w:tc>
          <w:tcPr>
            <w:tcW w:w="2340" w:type="dxa"/>
          </w:tcPr>
          <w:p w14:paraId="03CB1ADB" w14:textId="77777777" w:rsidR="00C17C92" w:rsidRPr="00EF48E5" w:rsidRDefault="00C17C92" w:rsidP="004751EE">
            <w:pPr>
              <w:spacing w:line="240" w:lineRule="auto"/>
              <w:contextualSpacing/>
              <w:jc w:val="both"/>
              <w:rPr>
                <w:lang w:val="es-419"/>
              </w:rPr>
            </w:pPr>
            <w:r w:rsidRPr="00EF48E5">
              <w:rPr>
                <w:lang w:val="es-419"/>
              </w:rPr>
              <w:t>27 – 28 de junio de 2017</w:t>
            </w:r>
          </w:p>
        </w:tc>
        <w:tc>
          <w:tcPr>
            <w:tcW w:w="2520" w:type="dxa"/>
          </w:tcPr>
          <w:p w14:paraId="21D1FBFB" w14:textId="77777777" w:rsidR="00C17C92" w:rsidRPr="00EF48E5" w:rsidRDefault="00C17C92" w:rsidP="004751EE">
            <w:pPr>
              <w:spacing w:line="240" w:lineRule="auto"/>
              <w:contextualSpacing/>
              <w:jc w:val="both"/>
              <w:rPr>
                <w:lang w:val="es-419"/>
              </w:rPr>
            </w:pPr>
            <w:r w:rsidRPr="00EF48E5">
              <w:rPr>
                <w:lang w:val="es-419"/>
              </w:rPr>
              <w:t>51</w:t>
            </w:r>
          </w:p>
        </w:tc>
      </w:tr>
      <w:tr w:rsidR="00C17C92" w:rsidRPr="00EF48E5" w14:paraId="39A3842A" w14:textId="77777777" w:rsidTr="001B362D">
        <w:trPr>
          <w:trHeight w:val="302"/>
        </w:trPr>
        <w:tc>
          <w:tcPr>
            <w:tcW w:w="5328" w:type="dxa"/>
          </w:tcPr>
          <w:p w14:paraId="51EF74B9" w14:textId="77777777" w:rsidR="00C17C92" w:rsidRPr="00EF48E5" w:rsidRDefault="00C17C92" w:rsidP="004751EE">
            <w:pPr>
              <w:spacing w:line="240" w:lineRule="auto"/>
              <w:contextualSpacing/>
              <w:jc w:val="both"/>
              <w:rPr>
                <w:lang w:val="es-419"/>
              </w:rPr>
            </w:pPr>
            <w:r w:rsidRPr="00EF48E5">
              <w:rPr>
                <w:lang w:val="es-419"/>
              </w:rPr>
              <w:t>Consulta Nacional de Haití</w:t>
            </w:r>
          </w:p>
        </w:tc>
        <w:tc>
          <w:tcPr>
            <w:tcW w:w="2340" w:type="dxa"/>
          </w:tcPr>
          <w:p w14:paraId="6A5DC428" w14:textId="77777777" w:rsidR="00C17C92" w:rsidRPr="00EF48E5" w:rsidRDefault="00C17C92" w:rsidP="004751EE">
            <w:pPr>
              <w:spacing w:line="240" w:lineRule="auto"/>
              <w:contextualSpacing/>
              <w:jc w:val="both"/>
              <w:rPr>
                <w:lang w:val="es-419"/>
              </w:rPr>
            </w:pPr>
            <w:r w:rsidRPr="00EF48E5">
              <w:rPr>
                <w:lang w:val="es-419"/>
              </w:rPr>
              <w:t>3 – 4 julio 2017</w:t>
            </w:r>
          </w:p>
        </w:tc>
        <w:tc>
          <w:tcPr>
            <w:tcW w:w="2520" w:type="dxa"/>
          </w:tcPr>
          <w:p w14:paraId="2A3B2267" w14:textId="77777777" w:rsidR="00C17C92" w:rsidRPr="00EF48E5" w:rsidRDefault="00C17C92" w:rsidP="004751EE">
            <w:pPr>
              <w:spacing w:line="240" w:lineRule="auto"/>
              <w:contextualSpacing/>
              <w:jc w:val="both"/>
              <w:rPr>
                <w:lang w:val="es-419"/>
              </w:rPr>
            </w:pPr>
            <w:r w:rsidRPr="00EF48E5">
              <w:rPr>
                <w:lang w:val="es-419"/>
              </w:rPr>
              <w:t>34</w:t>
            </w:r>
          </w:p>
        </w:tc>
      </w:tr>
      <w:tr w:rsidR="00C17C92" w:rsidRPr="00EF48E5" w14:paraId="001F0374" w14:textId="77777777" w:rsidTr="001B362D">
        <w:trPr>
          <w:trHeight w:val="302"/>
        </w:trPr>
        <w:tc>
          <w:tcPr>
            <w:tcW w:w="5328" w:type="dxa"/>
          </w:tcPr>
          <w:p w14:paraId="51120251" w14:textId="77777777" w:rsidR="00C17C92" w:rsidRPr="00EF48E5" w:rsidRDefault="00C17C92" w:rsidP="004751EE">
            <w:pPr>
              <w:spacing w:line="240" w:lineRule="auto"/>
              <w:contextualSpacing/>
              <w:jc w:val="both"/>
              <w:rPr>
                <w:lang w:val="es-419"/>
              </w:rPr>
            </w:pPr>
            <w:r w:rsidRPr="00EF48E5">
              <w:rPr>
                <w:lang w:val="es-419"/>
              </w:rPr>
              <w:t>Consulta Nacional de Jamaica</w:t>
            </w:r>
          </w:p>
        </w:tc>
        <w:tc>
          <w:tcPr>
            <w:tcW w:w="2340" w:type="dxa"/>
          </w:tcPr>
          <w:p w14:paraId="3AEFCD12" w14:textId="77777777" w:rsidR="00C17C92" w:rsidRPr="00EF48E5" w:rsidRDefault="00C17C92" w:rsidP="004751EE">
            <w:pPr>
              <w:spacing w:line="240" w:lineRule="auto"/>
              <w:contextualSpacing/>
              <w:jc w:val="both"/>
              <w:rPr>
                <w:lang w:val="es-419"/>
              </w:rPr>
            </w:pPr>
            <w:r w:rsidRPr="00EF48E5">
              <w:rPr>
                <w:lang w:val="es-419"/>
              </w:rPr>
              <w:t>7 - 8 julio</w:t>
            </w:r>
          </w:p>
        </w:tc>
        <w:tc>
          <w:tcPr>
            <w:tcW w:w="2520" w:type="dxa"/>
          </w:tcPr>
          <w:p w14:paraId="1C9AF7BE" w14:textId="77777777" w:rsidR="00C17C92" w:rsidRPr="00EF48E5" w:rsidRDefault="00C17C92" w:rsidP="004751EE">
            <w:pPr>
              <w:spacing w:line="240" w:lineRule="auto"/>
              <w:contextualSpacing/>
              <w:jc w:val="both"/>
              <w:rPr>
                <w:lang w:val="es-419"/>
              </w:rPr>
            </w:pPr>
            <w:r w:rsidRPr="00EF48E5">
              <w:rPr>
                <w:lang w:val="es-419"/>
              </w:rPr>
              <w:t>31</w:t>
            </w:r>
          </w:p>
        </w:tc>
      </w:tr>
      <w:tr w:rsidR="00C17C92" w:rsidRPr="00EF48E5" w14:paraId="03358202" w14:textId="77777777" w:rsidTr="001B362D">
        <w:trPr>
          <w:trHeight w:val="302"/>
        </w:trPr>
        <w:tc>
          <w:tcPr>
            <w:tcW w:w="5328" w:type="dxa"/>
          </w:tcPr>
          <w:p w14:paraId="40D41AEF" w14:textId="77777777" w:rsidR="00C17C92" w:rsidRPr="00EF48E5" w:rsidRDefault="00C17C92" w:rsidP="004751EE">
            <w:pPr>
              <w:spacing w:line="240" w:lineRule="auto"/>
              <w:contextualSpacing/>
              <w:jc w:val="both"/>
              <w:rPr>
                <w:lang w:val="es-419"/>
              </w:rPr>
            </w:pPr>
            <w:r w:rsidRPr="00EF48E5">
              <w:rPr>
                <w:lang w:val="es-419"/>
              </w:rPr>
              <w:t>Reunión en línea para las Bahamas y el Caribe oriental</w:t>
            </w:r>
          </w:p>
        </w:tc>
        <w:tc>
          <w:tcPr>
            <w:tcW w:w="2340" w:type="dxa"/>
          </w:tcPr>
          <w:p w14:paraId="241A1998" w14:textId="77777777" w:rsidR="00C17C92" w:rsidRPr="00EF48E5" w:rsidRDefault="00C17C92" w:rsidP="004751EE">
            <w:pPr>
              <w:spacing w:line="240" w:lineRule="auto"/>
              <w:contextualSpacing/>
              <w:jc w:val="both"/>
              <w:rPr>
                <w:lang w:val="es-419"/>
              </w:rPr>
            </w:pPr>
            <w:r w:rsidRPr="00EF48E5">
              <w:rPr>
                <w:lang w:val="es-419"/>
              </w:rPr>
              <w:t>25 julio 2017</w:t>
            </w:r>
          </w:p>
        </w:tc>
        <w:tc>
          <w:tcPr>
            <w:tcW w:w="2520" w:type="dxa"/>
          </w:tcPr>
          <w:p w14:paraId="1854AB1F" w14:textId="77777777" w:rsidR="00C17C92" w:rsidRPr="00EF48E5" w:rsidRDefault="00C17C92" w:rsidP="004751EE">
            <w:pPr>
              <w:spacing w:line="240" w:lineRule="auto"/>
              <w:contextualSpacing/>
              <w:jc w:val="both"/>
              <w:rPr>
                <w:lang w:val="es-419"/>
              </w:rPr>
            </w:pPr>
            <w:r w:rsidRPr="00EF48E5">
              <w:rPr>
                <w:lang w:val="es-419"/>
              </w:rPr>
              <w:t>12</w:t>
            </w:r>
          </w:p>
        </w:tc>
      </w:tr>
      <w:tr w:rsidR="00C17C92" w:rsidRPr="00EF48E5" w14:paraId="5FCDD4D9" w14:textId="77777777" w:rsidTr="001B362D">
        <w:trPr>
          <w:trHeight w:val="302"/>
        </w:trPr>
        <w:tc>
          <w:tcPr>
            <w:tcW w:w="5328" w:type="dxa"/>
          </w:tcPr>
          <w:p w14:paraId="36C92D9E" w14:textId="77777777" w:rsidR="00C17C92" w:rsidRPr="00EF48E5" w:rsidRDefault="00C17C92" w:rsidP="004751EE">
            <w:pPr>
              <w:spacing w:line="240" w:lineRule="auto"/>
              <w:contextualSpacing/>
              <w:jc w:val="both"/>
              <w:rPr>
                <w:lang w:val="es-419"/>
              </w:rPr>
            </w:pPr>
            <w:r w:rsidRPr="00EF48E5">
              <w:rPr>
                <w:lang w:val="es-419"/>
              </w:rPr>
              <w:t>Grupos de trabajo de expertos nacionales de KBA</w:t>
            </w:r>
          </w:p>
        </w:tc>
        <w:tc>
          <w:tcPr>
            <w:tcW w:w="2340" w:type="dxa"/>
          </w:tcPr>
          <w:p w14:paraId="5EE7C44A" w14:textId="7FEB7FF5" w:rsidR="00C17C92" w:rsidRPr="00EF48E5" w:rsidRDefault="0044588A" w:rsidP="004751EE">
            <w:pPr>
              <w:spacing w:line="240" w:lineRule="auto"/>
              <w:contextualSpacing/>
              <w:jc w:val="both"/>
              <w:rPr>
                <w:lang w:val="es-419"/>
              </w:rPr>
            </w:pPr>
            <w:r w:rsidRPr="00EF48E5">
              <w:rPr>
                <w:lang w:val="es-419"/>
              </w:rPr>
              <w:t>N</w:t>
            </w:r>
            <w:r w:rsidR="00C17C92" w:rsidRPr="00EF48E5">
              <w:rPr>
                <w:lang w:val="es-419"/>
              </w:rPr>
              <w:t>oviembre-diciembre 2017</w:t>
            </w:r>
          </w:p>
        </w:tc>
        <w:tc>
          <w:tcPr>
            <w:tcW w:w="2520" w:type="dxa"/>
          </w:tcPr>
          <w:p w14:paraId="7C623D12" w14:textId="77777777" w:rsidR="00C17C92" w:rsidRPr="00EF48E5" w:rsidRDefault="00C17C92" w:rsidP="004751EE">
            <w:pPr>
              <w:spacing w:line="240" w:lineRule="auto"/>
              <w:contextualSpacing/>
              <w:jc w:val="both"/>
              <w:rPr>
                <w:lang w:val="es-419"/>
              </w:rPr>
            </w:pPr>
            <w:r w:rsidRPr="00EF48E5">
              <w:rPr>
                <w:lang w:val="es-419"/>
              </w:rPr>
              <w:t>20</w:t>
            </w:r>
          </w:p>
        </w:tc>
      </w:tr>
      <w:tr w:rsidR="00C17C92" w:rsidRPr="00EF48E5" w14:paraId="7312D0CF" w14:textId="77777777" w:rsidTr="001B362D">
        <w:trPr>
          <w:trHeight w:val="302"/>
        </w:trPr>
        <w:tc>
          <w:tcPr>
            <w:tcW w:w="5328" w:type="dxa"/>
          </w:tcPr>
          <w:p w14:paraId="766B65AA" w14:textId="77777777" w:rsidR="00C17C92" w:rsidRPr="00EF48E5" w:rsidRDefault="00C17C92" w:rsidP="004751EE">
            <w:pPr>
              <w:spacing w:line="240" w:lineRule="auto"/>
              <w:contextualSpacing/>
              <w:rPr>
                <w:lang w:val="es-419"/>
              </w:rPr>
            </w:pPr>
            <w:r w:rsidRPr="00EF48E5">
              <w:rPr>
                <w:lang w:val="es-419"/>
              </w:rPr>
              <w:t>Consulta Regional</w:t>
            </w:r>
          </w:p>
        </w:tc>
        <w:tc>
          <w:tcPr>
            <w:tcW w:w="2340" w:type="dxa"/>
          </w:tcPr>
          <w:p w14:paraId="11282CFD" w14:textId="435BCA92" w:rsidR="00C17C92" w:rsidRPr="00EF48E5" w:rsidRDefault="00C17C92" w:rsidP="004751EE">
            <w:pPr>
              <w:spacing w:line="240" w:lineRule="auto"/>
              <w:contextualSpacing/>
              <w:rPr>
                <w:lang w:val="es-419"/>
              </w:rPr>
            </w:pPr>
            <w:r w:rsidRPr="00EF48E5">
              <w:rPr>
                <w:lang w:val="es-419"/>
              </w:rPr>
              <w:t xml:space="preserve">10 </w:t>
            </w:r>
            <w:r w:rsidR="0044588A" w:rsidRPr="00EF48E5">
              <w:rPr>
                <w:lang w:val="es-419"/>
              </w:rPr>
              <w:t xml:space="preserve">de </w:t>
            </w:r>
            <w:r w:rsidRPr="00EF48E5">
              <w:rPr>
                <w:lang w:val="es-419"/>
              </w:rPr>
              <w:t>enero 2018</w:t>
            </w:r>
          </w:p>
        </w:tc>
        <w:tc>
          <w:tcPr>
            <w:tcW w:w="2520" w:type="dxa"/>
          </w:tcPr>
          <w:p w14:paraId="4D528DB2" w14:textId="77777777" w:rsidR="00C17C92" w:rsidRPr="00EF48E5" w:rsidRDefault="00C17C92" w:rsidP="004751EE">
            <w:pPr>
              <w:spacing w:line="240" w:lineRule="auto"/>
              <w:contextualSpacing/>
              <w:rPr>
                <w:lang w:val="es-419"/>
              </w:rPr>
            </w:pPr>
            <w:r w:rsidRPr="00EF48E5">
              <w:rPr>
                <w:lang w:val="es-419"/>
              </w:rPr>
              <w:t>27</w:t>
            </w:r>
          </w:p>
        </w:tc>
      </w:tr>
      <w:tr w:rsidR="00C17C92" w:rsidRPr="00EF48E5" w14:paraId="1859FFD5" w14:textId="77777777" w:rsidTr="001B362D">
        <w:trPr>
          <w:trHeight w:val="302"/>
        </w:trPr>
        <w:tc>
          <w:tcPr>
            <w:tcW w:w="7668" w:type="dxa"/>
            <w:gridSpan w:val="2"/>
          </w:tcPr>
          <w:p w14:paraId="33E18BA9" w14:textId="77777777" w:rsidR="00C17C92" w:rsidRPr="00EF48E5" w:rsidRDefault="00C17C92" w:rsidP="004751EE">
            <w:pPr>
              <w:spacing w:line="240" w:lineRule="auto"/>
              <w:contextualSpacing/>
              <w:rPr>
                <w:b/>
                <w:lang w:val="es-419"/>
              </w:rPr>
            </w:pPr>
            <w:proofErr w:type="gramStart"/>
            <w:r w:rsidRPr="00EF48E5">
              <w:rPr>
                <w:b/>
                <w:lang w:val="es-419"/>
              </w:rPr>
              <w:t>Total</w:t>
            </w:r>
            <w:proofErr w:type="gramEnd"/>
            <w:r w:rsidRPr="00EF48E5">
              <w:rPr>
                <w:b/>
                <w:lang w:val="es-419"/>
              </w:rPr>
              <w:t xml:space="preserve"> de participantes del taller</w:t>
            </w:r>
          </w:p>
        </w:tc>
        <w:tc>
          <w:tcPr>
            <w:tcW w:w="2520" w:type="dxa"/>
          </w:tcPr>
          <w:p w14:paraId="6EB7B2F9" w14:textId="77777777" w:rsidR="00C17C92" w:rsidRPr="00EF48E5" w:rsidRDefault="00C17C92" w:rsidP="004751EE">
            <w:pPr>
              <w:spacing w:line="240" w:lineRule="auto"/>
              <w:contextualSpacing/>
              <w:rPr>
                <w:b/>
                <w:lang w:val="es-419"/>
              </w:rPr>
            </w:pPr>
            <w:r w:rsidRPr="00EF48E5">
              <w:rPr>
                <w:b/>
                <w:lang w:val="es-419"/>
              </w:rPr>
              <w:t>175</w:t>
            </w:r>
          </w:p>
        </w:tc>
      </w:tr>
    </w:tbl>
    <w:p w14:paraId="3E778C84" w14:textId="77777777" w:rsidR="00D27815" w:rsidRPr="00EF48E5" w:rsidRDefault="00D27815" w:rsidP="004751EE">
      <w:pPr>
        <w:spacing w:after="0" w:line="240" w:lineRule="auto"/>
        <w:contextualSpacing/>
        <w:jc w:val="both"/>
        <w:rPr>
          <w:lang w:val="es-419"/>
        </w:rPr>
      </w:pPr>
    </w:p>
    <w:p w14:paraId="4FB84E24" w14:textId="551FC28D" w:rsidR="00C17C92" w:rsidRPr="00EF48E5" w:rsidRDefault="00C17C92" w:rsidP="004751EE">
      <w:pPr>
        <w:spacing w:after="0" w:line="240" w:lineRule="auto"/>
        <w:contextualSpacing/>
        <w:jc w:val="both"/>
        <w:rPr>
          <w:lang w:val="es-419"/>
        </w:rPr>
      </w:pPr>
      <w:r w:rsidRPr="00EF48E5">
        <w:rPr>
          <w:lang w:val="es-419"/>
        </w:rPr>
        <w:t xml:space="preserve">El equipo de elaboración de perfiles, dirigido por CANARI, compiló documentos de discusión sobre cuestiones temáticas que se presentaron en las consultas nacionales. Los documentos de discusión y las listas de referencia de KBA y especies desencadenantes estuvieron disponibles en el micrositio interactivo de ArcGIS </w:t>
      </w:r>
      <w:proofErr w:type="spellStart"/>
      <w:r w:rsidRPr="00EF48E5">
        <w:rPr>
          <w:lang w:val="es-419"/>
        </w:rPr>
        <w:t>Story</w:t>
      </w:r>
      <w:proofErr w:type="spellEnd"/>
      <w:r w:rsidRPr="00EF48E5">
        <w:rPr>
          <w:lang w:val="es-419"/>
        </w:rPr>
        <w:t xml:space="preserve"> </w:t>
      </w:r>
      <w:proofErr w:type="spellStart"/>
      <w:r w:rsidRPr="00EF48E5">
        <w:rPr>
          <w:lang w:val="es-419"/>
        </w:rPr>
        <w:t>Map</w:t>
      </w:r>
      <w:proofErr w:type="spellEnd"/>
      <w:r w:rsidRPr="00EF48E5">
        <w:rPr>
          <w:lang w:val="es-419"/>
        </w:rPr>
        <w:t xml:space="preserve"> entre junio y septiembre de 2017 para su revisión en línea.</w:t>
      </w:r>
    </w:p>
    <w:p w14:paraId="3ACDDF3C" w14:textId="77777777" w:rsidR="004751EE" w:rsidRPr="00EF48E5" w:rsidRDefault="004751EE" w:rsidP="004751EE">
      <w:pPr>
        <w:spacing w:after="0" w:line="240" w:lineRule="auto"/>
        <w:contextualSpacing/>
        <w:jc w:val="both"/>
        <w:rPr>
          <w:lang w:val="es-419"/>
        </w:rPr>
      </w:pPr>
    </w:p>
    <w:p w14:paraId="6C9AAB05" w14:textId="4CA3346F" w:rsidR="00C17C92" w:rsidRPr="00EF48E5" w:rsidRDefault="00C17C92" w:rsidP="004751EE">
      <w:pPr>
        <w:spacing w:after="0" w:line="240" w:lineRule="auto"/>
        <w:contextualSpacing/>
        <w:jc w:val="both"/>
        <w:rPr>
          <w:lang w:val="es-419"/>
        </w:rPr>
      </w:pPr>
      <w:r w:rsidRPr="00EF48E5">
        <w:rPr>
          <w:lang w:val="es-419"/>
        </w:rPr>
        <w:t>El borrador de prioridades geográficas y temáticas para la concesión de subvenciones fue revisado y validado por los participantes durante el taller de consulta regional en Jamaica, que reunió a 27 expertos de la sociedad civil, el gobierno y las agencias de financiación, a quienes se les pidió que revisaran el borrador desde una perspectiva regional. Las recomendaciones de esta reunión se utilizaron para revisar el enfoque general y la estrategia de inversión. Se reflejan en la identificación de los riesgos del proyecto en el ESMF, así como en la identificación de las partes interesadas y grupos vulnerables (ver más abajo en este SEP).</w:t>
      </w:r>
    </w:p>
    <w:p w14:paraId="388AC4CE" w14:textId="619FF306" w:rsidR="004751EE" w:rsidRPr="00EF48E5" w:rsidRDefault="004751EE" w:rsidP="004751EE">
      <w:pPr>
        <w:spacing w:after="0" w:line="240" w:lineRule="auto"/>
        <w:contextualSpacing/>
        <w:jc w:val="both"/>
        <w:rPr>
          <w:lang w:val="es-419"/>
        </w:rPr>
      </w:pPr>
    </w:p>
    <w:p w14:paraId="503B1BA0" w14:textId="453A3A07" w:rsidR="003F723F" w:rsidRPr="00EF48E5" w:rsidRDefault="0019702F" w:rsidP="004751EE">
      <w:pPr>
        <w:spacing w:after="0" w:line="240" w:lineRule="auto"/>
        <w:contextualSpacing/>
        <w:jc w:val="both"/>
        <w:rPr>
          <w:b/>
          <w:bCs/>
          <w:lang w:val="es-419"/>
        </w:rPr>
      </w:pPr>
      <w:r w:rsidRPr="00EF48E5">
        <w:rPr>
          <w:b/>
          <w:bCs/>
          <w:lang w:val="es-419"/>
        </w:rPr>
        <w:t>Consultas para orientar la implementación de mecanismos colaborativos de responsabilidad social</w:t>
      </w:r>
    </w:p>
    <w:p w14:paraId="39DFFAF4" w14:textId="77777777" w:rsidR="00914700" w:rsidRPr="00EF48E5" w:rsidRDefault="00914700" w:rsidP="004751EE">
      <w:pPr>
        <w:spacing w:after="0" w:line="240" w:lineRule="auto"/>
        <w:contextualSpacing/>
        <w:jc w:val="both"/>
        <w:rPr>
          <w:b/>
          <w:bCs/>
          <w:lang w:val="es-419"/>
        </w:rPr>
      </w:pPr>
    </w:p>
    <w:p w14:paraId="0FBA5F7C" w14:textId="54E71B12" w:rsidR="00A53EFE" w:rsidRPr="00EF48E5" w:rsidRDefault="004751EE" w:rsidP="004751EE">
      <w:pPr>
        <w:pStyle w:val="NormalWeb"/>
        <w:spacing w:before="0" w:beforeAutospacing="0" w:after="0" w:afterAutospacing="0"/>
        <w:contextualSpacing/>
        <w:rPr>
          <w:rFonts w:asciiTheme="minorHAnsi" w:hAnsiTheme="minorHAnsi" w:cstheme="minorHAnsi"/>
          <w:sz w:val="22"/>
          <w:szCs w:val="22"/>
          <w:lang w:val="es-419"/>
        </w:rPr>
      </w:pPr>
      <w:r w:rsidRPr="00EF48E5">
        <w:rPr>
          <w:rFonts w:asciiTheme="minorHAnsi" w:hAnsiTheme="minorHAnsi" w:cstheme="minorHAnsi"/>
          <w:sz w:val="22"/>
          <w:szCs w:val="22"/>
          <w:lang w:val="es-419"/>
        </w:rPr>
        <w:t xml:space="preserve">Además, CANARI fue presentado al Equipo Colaborativo de Responsabilidad Social (CSAT) alojado en el </w:t>
      </w:r>
      <w:r w:rsidR="00A53EFE" w:rsidRPr="00EF48E5">
        <w:rPr>
          <w:rStyle w:val="Emphasis"/>
          <w:rFonts w:asciiTheme="minorHAnsi" w:eastAsiaTheme="minorEastAsia" w:hAnsiTheme="minorHAnsi" w:cstheme="minorHAnsi"/>
          <w:sz w:val="22"/>
          <w:szCs w:val="22"/>
          <w:lang w:val="es-419"/>
        </w:rPr>
        <w:t xml:space="preserve">Instituto Tecnológico de Santo Domingo </w:t>
      </w:r>
      <w:r w:rsidR="00A53EFE" w:rsidRPr="00EF48E5">
        <w:rPr>
          <w:rFonts w:asciiTheme="minorHAnsi" w:hAnsiTheme="minorHAnsi" w:cstheme="minorHAnsi"/>
          <w:sz w:val="22"/>
          <w:szCs w:val="22"/>
          <w:lang w:val="es-419"/>
        </w:rPr>
        <w:t xml:space="preserve">(INTEC) en asociación con </w:t>
      </w:r>
      <w:proofErr w:type="spellStart"/>
      <w:r w:rsidR="00A53EFE" w:rsidRPr="00EF48E5">
        <w:rPr>
          <w:rFonts w:asciiTheme="minorHAnsi" w:hAnsiTheme="minorHAnsi" w:cstheme="minorHAnsi"/>
          <w:sz w:val="22"/>
          <w:szCs w:val="22"/>
          <w:lang w:val="es-419"/>
        </w:rPr>
        <w:t>Integrated</w:t>
      </w:r>
      <w:proofErr w:type="spellEnd"/>
      <w:r w:rsidR="00A53EFE" w:rsidRPr="00EF48E5">
        <w:rPr>
          <w:rFonts w:asciiTheme="minorHAnsi" w:hAnsiTheme="minorHAnsi" w:cstheme="minorHAnsi"/>
          <w:sz w:val="22"/>
          <w:szCs w:val="22"/>
          <w:lang w:val="es-419"/>
        </w:rPr>
        <w:t xml:space="preserve"> </w:t>
      </w:r>
      <w:proofErr w:type="spellStart"/>
      <w:r w:rsidR="00A53EFE" w:rsidRPr="00EF48E5">
        <w:rPr>
          <w:rFonts w:asciiTheme="minorHAnsi" w:hAnsiTheme="minorHAnsi" w:cstheme="minorHAnsi"/>
          <w:sz w:val="22"/>
          <w:szCs w:val="22"/>
          <w:lang w:val="es-419"/>
        </w:rPr>
        <w:t>Health</w:t>
      </w:r>
      <w:proofErr w:type="spellEnd"/>
      <w:r w:rsidR="00A53EFE" w:rsidRPr="00EF48E5">
        <w:rPr>
          <w:rFonts w:asciiTheme="minorHAnsi" w:hAnsiTheme="minorHAnsi" w:cstheme="minorHAnsi"/>
          <w:sz w:val="22"/>
          <w:szCs w:val="22"/>
          <w:lang w:val="es-419"/>
        </w:rPr>
        <w:t xml:space="preserve"> </w:t>
      </w:r>
      <w:proofErr w:type="spellStart"/>
      <w:r w:rsidR="00A53EFE" w:rsidRPr="00EF48E5">
        <w:rPr>
          <w:rFonts w:asciiTheme="minorHAnsi" w:hAnsiTheme="minorHAnsi" w:cstheme="minorHAnsi"/>
          <w:sz w:val="22"/>
          <w:szCs w:val="22"/>
          <w:lang w:val="es-419"/>
        </w:rPr>
        <w:t>Outreach</w:t>
      </w:r>
      <w:proofErr w:type="spellEnd"/>
      <w:r w:rsidR="00A53EFE" w:rsidRPr="00EF48E5">
        <w:rPr>
          <w:rFonts w:asciiTheme="minorHAnsi" w:hAnsiTheme="minorHAnsi" w:cstheme="minorHAnsi"/>
          <w:sz w:val="22"/>
          <w:szCs w:val="22"/>
          <w:lang w:val="es-419"/>
        </w:rPr>
        <w:t xml:space="preserve"> (IHO). El CSAT está liderando la implementación del programa colaborativo de responsabilidad social que tiene como objetivo fortalecer las alianzas de las OSC para la conservación. CANARI y el equipo CSAT compartieron información y discutieron el enfoque del programa durante el desarrollo de este proyecto, y acordaron trabajar de cerca en la implementación del programa colaborativo de responsabilidad social donde CANARI se guiará por la experiencia del INTEC y la OHI.</w:t>
      </w:r>
    </w:p>
    <w:p w14:paraId="2924F4A1" w14:textId="09C986E1" w:rsidR="00EB2742" w:rsidRPr="00EF48E5" w:rsidRDefault="00EB2742" w:rsidP="004751EE">
      <w:pPr>
        <w:pStyle w:val="NormalWeb"/>
        <w:spacing w:before="0" w:beforeAutospacing="0" w:after="0" w:afterAutospacing="0"/>
        <w:contextualSpacing/>
        <w:rPr>
          <w:rFonts w:asciiTheme="minorHAnsi" w:hAnsiTheme="minorHAnsi" w:cstheme="minorHAnsi"/>
          <w:sz w:val="22"/>
          <w:szCs w:val="22"/>
          <w:lang w:val="es-419"/>
        </w:rPr>
      </w:pPr>
    </w:p>
    <w:p w14:paraId="4F9A690C" w14:textId="77777777" w:rsidR="00EB2742" w:rsidRPr="00EF48E5" w:rsidRDefault="00EB2742" w:rsidP="00EB2742">
      <w:pPr>
        <w:keepNext/>
        <w:jc w:val="both"/>
        <w:rPr>
          <w:rFonts w:cstheme="minorHAnsi"/>
          <w:lang w:val="es-419"/>
        </w:rPr>
      </w:pPr>
      <w:r w:rsidRPr="00EF48E5">
        <w:rPr>
          <w:rFonts w:cstheme="minorHAnsi"/>
          <w:b/>
          <w:bCs/>
          <w:lang w:val="es-419"/>
        </w:rPr>
        <w:t>Consultas de las partes interesadas del ESMF</w:t>
      </w:r>
    </w:p>
    <w:p w14:paraId="26B6ED67" w14:textId="648ACAE8" w:rsidR="008A2777" w:rsidRPr="00EF48E5" w:rsidRDefault="00EB2742" w:rsidP="0044588A">
      <w:pPr>
        <w:pStyle w:val="NormalWeb"/>
        <w:spacing w:before="0" w:beforeAutospacing="0" w:after="0" w:afterAutospacing="0"/>
        <w:contextualSpacing/>
        <w:rPr>
          <w:rFonts w:cstheme="minorHAnsi"/>
          <w:lang w:val="es-419"/>
        </w:rPr>
      </w:pPr>
      <w:r w:rsidRPr="00EF48E5">
        <w:rPr>
          <w:rFonts w:asciiTheme="minorHAnsi" w:hAnsiTheme="minorHAnsi" w:cstheme="minorHAnsi"/>
          <w:sz w:val="22"/>
          <w:szCs w:val="22"/>
          <w:lang w:val="es-419"/>
        </w:rPr>
        <w:t xml:space="preserve">El ESMF examina los riesgos e impactos del proyecto en general y establece un marco para evaluar los riesgos e impactos de los subproyectos individuales, que aún no se han identificado. Durante septiembre y octubre de 2020 se realizaron una serie de consultas virtuales sobre el borrador del ESMF y SEP con 76 actores de los siete países del proyecto. La Secretaría del CEPF lideró este proceso. CANARI </w:t>
      </w:r>
      <w:r w:rsidRPr="00EF48E5">
        <w:rPr>
          <w:rFonts w:asciiTheme="minorHAnsi" w:hAnsiTheme="minorHAnsi" w:cstheme="minorHAnsi"/>
          <w:sz w:val="22"/>
          <w:szCs w:val="22"/>
          <w:lang w:val="es-419"/>
        </w:rPr>
        <w:lastRenderedPageBreak/>
        <w:t xml:space="preserve">brindó información sobre la lista de partes interesadas objetivo de este proceso de consulta, basándose en la fase anterior de concesión de subvenciones del CEPF en el </w:t>
      </w:r>
      <w:proofErr w:type="spellStart"/>
      <w:r w:rsidRPr="00EF48E5">
        <w:rPr>
          <w:rFonts w:asciiTheme="minorHAnsi" w:hAnsiTheme="minorHAnsi" w:cstheme="minorHAnsi"/>
          <w:sz w:val="22"/>
          <w:szCs w:val="22"/>
          <w:lang w:val="es-419"/>
        </w:rPr>
        <w:t>Hotspot</w:t>
      </w:r>
      <w:proofErr w:type="spellEnd"/>
      <w:r w:rsidRPr="00EF48E5">
        <w:rPr>
          <w:rFonts w:asciiTheme="minorHAnsi" w:hAnsiTheme="minorHAnsi" w:cstheme="minorHAnsi"/>
          <w:sz w:val="22"/>
          <w:szCs w:val="22"/>
          <w:lang w:val="es-419"/>
        </w:rPr>
        <w:t xml:space="preserve"> de las Islas del Caribe entre 2010 y 2016.</w:t>
      </w:r>
    </w:p>
    <w:p w14:paraId="6E8080F6" w14:textId="4109BA94" w:rsidR="004B349C" w:rsidRPr="00EF48E5" w:rsidRDefault="008A2777" w:rsidP="003D2806">
      <w:pPr>
        <w:pStyle w:val="Heading1"/>
        <w:numPr>
          <w:ilvl w:val="0"/>
          <w:numId w:val="1"/>
        </w:numPr>
        <w:rPr>
          <w:lang w:val="es-419"/>
        </w:rPr>
      </w:pPr>
      <w:bookmarkStart w:id="9" w:name="_Toc100398994"/>
      <w:r w:rsidRPr="00EF48E5">
        <w:rPr>
          <w:lang w:val="es-419"/>
        </w:rPr>
        <w:t>Partes interesadas del proyecto</w:t>
      </w:r>
      <w:bookmarkEnd w:id="9"/>
    </w:p>
    <w:p w14:paraId="2D363A8F" w14:textId="512815AA" w:rsidR="004B349C" w:rsidRPr="00EF48E5" w:rsidRDefault="004B349C" w:rsidP="004B349C">
      <w:pPr>
        <w:spacing w:after="0"/>
        <w:jc w:val="both"/>
        <w:rPr>
          <w:rFonts w:cstheme="minorHAnsi"/>
          <w:lang w:val="es-419"/>
        </w:rPr>
      </w:pPr>
    </w:p>
    <w:p w14:paraId="09D3E970" w14:textId="651CA464" w:rsidR="004B349C" w:rsidRPr="00EF48E5" w:rsidRDefault="00BC5CDD" w:rsidP="004B349C">
      <w:pPr>
        <w:spacing w:after="0"/>
        <w:jc w:val="both"/>
        <w:rPr>
          <w:lang w:val="es-419"/>
        </w:rPr>
      </w:pPr>
      <w:r w:rsidRPr="00EF48E5">
        <w:rPr>
          <w:rFonts w:cstheme="minorHAnsi"/>
          <w:lang w:val="es-419"/>
        </w:rPr>
        <w:t xml:space="preserve">Bajo el Componente 2 del proyecto </w:t>
      </w:r>
      <w:proofErr w:type="gramStart"/>
      <w:r w:rsidRPr="00EF48E5">
        <w:rPr>
          <w:rFonts w:cstheme="minorHAnsi"/>
          <w:lang w:val="es-419"/>
        </w:rPr>
        <w:t xml:space="preserve">( </w:t>
      </w:r>
      <w:r w:rsidRPr="00EF48E5">
        <w:rPr>
          <w:rStyle w:val="Strong"/>
          <w:b w:val="0"/>
          <w:bCs w:val="0"/>
          <w:lang w:val="es-419"/>
        </w:rPr>
        <w:t>Comunicación</w:t>
      </w:r>
      <w:proofErr w:type="gramEnd"/>
      <w:r w:rsidRPr="00EF48E5">
        <w:rPr>
          <w:rStyle w:val="Strong"/>
          <w:b w:val="0"/>
          <w:bCs w:val="0"/>
          <w:lang w:val="es-419"/>
        </w:rPr>
        <w:t xml:space="preserve"> de la inversión del CEPF en el </w:t>
      </w:r>
      <w:proofErr w:type="spellStart"/>
      <w:r w:rsidRPr="00EF48E5">
        <w:rPr>
          <w:rStyle w:val="Strong"/>
          <w:b w:val="0"/>
          <w:bCs w:val="0"/>
          <w:lang w:val="es-419"/>
        </w:rPr>
        <w:t>Hotspot</w:t>
      </w:r>
      <w:proofErr w:type="spellEnd"/>
      <w:r w:rsidRPr="00EF48E5">
        <w:rPr>
          <w:rStyle w:val="Strong"/>
          <w:b w:val="0"/>
          <w:bCs w:val="0"/>
          <w:lang w:val="es-419"/>
        </w:rPr>
        <w:t xml:space="preserve"> de Biodiversidad de las Islas del Caribe), CANARI </w:t>
      </w:r>
      <w:r w:rsidRPr="00EF48E5">
        <w:rPr>
          <w:lang w:val="es-419"/>
        </w:rPr>
        <w:t>desarrollará una estrategia de participación y comunicación</w:t>
      </w:r>
      <w:r w:rsidRPr="00EF48E5">
        <w:rPr>
          <w:rStyle w:val="Strong"/>
          <w:lang w:val="es-419"/>
        </w:rPr>
        <w:t xml:space="preserve"> </w:t>
      </w:r>
      <w:r w:rsidRPr="00EF48E5">
        <w:rPr>
          <w:lang w:val="es-419"/>
        </w:rPr>
        <w:t xml:space="preserve">para la inversión en el </w:t>
      </w:r>
      <w:proofErr w:type="spellStart"/>
      <w:r w:rsidRPr="00EF48E5">
        <w:rPr>
          <w:lang w:val="es-419"/>
        </w:rPr>
        <w:t>Hotspot</w:t>
      </w:r>
      <w:proofErr w:type="spellEnd"/>
      <w:r w:rsidRPr="00EF48E5">
        <w:rPr>
          <w:lang w:val="es-419"/>
        </w:rPr>
        <w:t xml:space="preserve"> de Biodiversidad de las Islas del Caribe para guiar la participación de las partes interesadas. Esta estrategia se basará en el trabajo ya realizado para identificar e involucrar a las partes interesadas clave (ver arriba).</w:t>
      </w:r>
    </w:p>
    <w:p w14:paraId="16DB8E83" w14:textId="7FF6E691" w:rsidR="00710C7F" w:rsidRPr="00EF48E5" w:rsidRDefault="00710C7F" w:rsidP="004B349C">
      <w:pPr>
        <w:spacing w:after="0"/>
        <w:jc w:val="both"/>
        <w:rPr>
          <w:lang w:val="es-419"/>
        </w:rPr>
      </w:pPr>
    </w:p>
    <w:p w14:paraId="009B62AD" w14:textId="19A80CEC" w:rsidR="00D27815" w:rsidRPr="00EF48E5" w:rsidRDefault="005E794F" w:rsidP="00D27815">
      <w:pPr>
        <w:jc w:val="both"/>
        <w:rPr>
          <w:lang w:val="es-419"/>
        </w:rPr>
      </w:pPr>
      <w:r w:rsidRPr="00EF48E5">
        <w:rPr>
          <w:lang w:val="es-419"/>
        </w:rPr>
        <w:t>Trabajando en estrecha colaboración con la Secretaría del CEPF, se identificaron preliminarmente 10 grupos principales de partes interesadas. Los primeros cuatro grupos se consideran partes afectadas por el proyecto porque se anticipa que se verán directamente afectados por el proyecto: OSC locales, instituciones académicas y organizaciones comunitarias que reciben directamente desarrollo de capacidades y otras formas de apoyo como parte de su participación en el proyecto; y las comunidades locales que obtienen beneficios de los subproyectos, como capacitación, mejora de los medios de vida, creación de empleo, acceso a los servicios de los ecosistemas, etc.</w:t>
      </w:r>
    </w:p>
    <w:p w14:paraId="786CD8EE" w14:textId="19AB7AD3" w:rsidR="00710C7F" w:rsidRPr="00EF48E5" w:rsidRDefault="00710C7F" w:rsidP="00D27815">
      <w:pPr>
        <w:jc w:val="both"/>
        <w:rPr>
          <w:lang w:val="es-419"/>
        </w:rPr>
      </w:pPr>
      <w:r w:rsidRPr="00EF48E5">
        <w:rPr>
          <w:lang w:val="es-419"/>
        </w:rPr>
        <w:t>Los seis grupos restantes (agencias gubernamentales nacionales, agencias gubernamentales locales, actores del sector privado, OSC internacionales y donantes internacionales y agencias técnicas regionales) se consideran otras partes interesadas porque, si bien no se prevé que se beneficien directamente de las actividades del proyecto, se espera que participe</w:t>
      </w:r>
      <w:r w:rsidR="00EF48E5" w:rsidRPr="00EF48E5">
        <w:rPr>
          <w:lang w:val="es-419"/>
        </w:rPr>
        <w:t>n</w:t>
      </w:r>
      <w:r w:rsidRPr="00EF48E5">
        <w:rPr>
          <w:lang w:val="es-419"/>
        </w:rPr>
        <w:t xml:space="preserve"> en colaboraciones para identificar e implementar soluciones a los desafíos locales de conservación. En su SEP, cada </w:t>
      </w:r>
      <w:proofErr w:type="spellStart"/>
      <w:r w:rsidRPr="00EF48E5">
        <w:rPr>
          <w:lang w:val="es-419"/>
        </w:rPr>
        <w:t>sub-beneficiario</w:t>
      </w:r>
      <w:proofErr w:type="spellEnd"/>
      <w:r w:rsidRPr="00EF48E5">
        <w:rPr>
          <w:lang w:val="es-419"/>
        </w:rPr>
        <w:t xml:space="preserve"> deberá identificar las organizaciones e individuos específicos en cada grupo de partes interesadas que sean relevantes para su subproyecto.</w:t>
      </w:r>
    </w:p>
    <w:p w14:paraId="02CB0E83" w14:textId="5BF2C6D8" w:rsidR="00710C7F" w:rsidRPr="00EF48E5" w:rsidRDefault="00710C7F" w:rsidP="003D2806">
      <w:pPr>
        <w:rPr>
          <w:b/>
          <w:bCs/>
          <w:u w:val="single"/>
          <w:lang w:val="es-419"/>
        </w:rPr>
      </w:pPr>
      <w:bookmarkStart w:id="10" w:name="_Toc51772077"/>
      <w:bookmarkStart w:id="11" w:name="_Toc52881539"/>
      <w:r w:rsidRPr="00EF48E5">
        <w:rPr>
          <w:b/>
          <w:bCs/>
          <w:u w:val="single"/>
          <w:lang w:val="es-419"/>
        </w:rPr>
        <w:t xml:space="preserve">Partes </w:t>
      </w:r>
      <w:r w:rsidR="00EF48E5" w:rsidRPr="00EF48E5">
        <w:rPr>
          <w:b/>
          <w:bCs/>
          <w:u w:val="single"/>
          <w:lang w:val="es-419"/>
        </w:rPr>
        <w:t>a</w:t>
      </w:r>
      <w:r w:rsidRPr="00EF48E5">
        <w:rPr>
          <w:b/>
          <w:bCs/>
          <w:u w:val="single"/>
          <w:lang w:val="es-419"/>
        </w:rPr>
        <w:t xml:space="preserve">fectadas del </w:t>
      </w:r>
      <w:r w:rsidR="00EF48E5" w:rsidRPr="00EF48E5">
        <w:rPr>
          <w:b/>
          <w:bCs/>
          <w:u w:val="single"/>
          <w:lang w:val="es-419"/>
        </w:rPr>
        <w:t>p</w:t>
      </w:r>
      <w:r w:rsidRPr="00EF48E5">
        <w:rPr>
          <w:b/>
          <w:bCs/>
          <w:u w:val="single"/>
          <w:lang w:val="es-419"/>
        </w:rPr>
        <w:t>royecto</w:t>
      </w:r>
      <w:bookmarkEnd w:id="10"/>
      <w:bookmarkEnd w:id="11"/>
      <w:r w:rsidRPr="00EF48E5">
        <w:rPr>
          <w:b/>
          <w:bCs/>
          <w:u w:val="single"/>
          <w:lang w:val="es-419"/>
        </w:rPr>
        <w:t xml:space="preserve"> </w:t>
      </w:r>
    </w:p>
    <w:p w14:paraId="42F8685E" w14:textId="6936EC16" w:rsidR="00710C7F" w:rsidRPr="00EF48E5" w:rsidRDefault="00710C7F" w:rsidP="00710C7F">
      <w:pPr>
        <w:spacing w:before="160"/>
        <w:rPr>
          <w:b/>
          <w:bCs/>
          <w:lang w:val="es-419"/>
        </w:rPr>
      </w:pPr>
      <w:r w:rsidRPr="00EF48E5">
        <w:rPr>
          <w:b/>
          <w:bCs/>
          <w:lang w:val="es-419"/>
        </w:rPr>
        <w:t>OSC locales</w:t>
      </w:r>
    </w:p>
    <w:p w14:paraId="4EC8C181" w14:textId="3F313FA9" w:rsidR="00710C7F" w:rsidRPr="00EF48E5" w:rsidRDefault="00710C7F" w:rsidP="00710C7F">
      <w:pPr>
        <w:spacing w:after="0" w:line="240" w:lineRule="auto"/>
        <w:jc w:val="both"/>
        <w:rPr>
          <w:lang w:val="es-419"/>
        </w:rPr>
      </w:pPr>
      <w:r w:rsidRPr="00EF48E5">
        <w:rPr>
          <w:lang w:val="es-419"/>
        </w:rPr>
        <w:t>Las organizaciones populares tradicionalmente han jugado un papel importante en el desarrollo social, económico y cultural de la sociedad caribeña. La actividad cívica en la región se remonta al período anterior a la emancipación y continúa siendo importante en la era moderna. El sector ha pasado de estar principalmente orientado al bienestar y dirigido por voluntarios a incluir organizaciones sin fines de lucro centradas en políticas y técnicas con personal de profesionales a tiempo completo que administran grandes proyectos de varios años. Las OSC del Caribe siguen desempeñando un papel esencial en la prestación de servicios sociales. Las OSC también participan en la investigación, el desarrollo de capacidades, la sensibilización y la promoción. Hay modelos emergentes de organizaciones sin fines de lucro como empresas sociales.</w:t>
      </w:r>
    </w:p>
    <w:p w14:paraId="06B45D2A" w14:textId="77777777" w:rsidR="00710C7F" w:rsidRPr="00EF48E5" w:rsidRDefault="00710C7F" w:rsidP="00710C7F">
      <w:pPr>
        <w:spacing w:after="0" w:line="240" w:lineRule="auto"/>
        <w:jc w:val="both"/>
        <w:rPr>
          <w:lang w:val="es-419"/>
        </w:rPr>
      </w:pPr>
    </w:p>
    <w:p w14:paraId="5066CBEE" w14:textId="7A2E3B59" w:rsidR="00710C7F" w:rsidRPr="00EF48E5" w:rsidRDefault="00710C7F" w:rsidP="00710C7F">
      <w:pPr>
        <w:jc w:val="both"/>
        <w:rPr>
          <w:lang w:val="es-419"/>
        </w:rPr>
      </w:pPr>
      <w:r w:rsidRPr="00EF48E5">
        <w:rPr>
          <w:lang w:val="es-419"/>
        </w:rPr>
        <w:t>Todos los países del Caribe tienen al menos una OSC con una misión que incluye la conservación de la biodiversidad o temas relacionados, y muchos tienen responsabilidades de cogestión de áreas protegidas. El perfil del ecosistema identificó 120 OSC del Caribe que trabajan en temas ambientales en uno o más de los países del proyecto, con el mayor número en la República Dominicana y Haití.</w:t>
      </w:r>
    </w:p>
    <w:p w14:paraId="12AA41BB" w14:textId="6E79B15A" w:rsidR="00710C7F" w:rsidRPr="00EF48E5" w:rsidRDefault="00710C7F" w:rsidP="00710C7F">
      <w:pPr>
        <w:jc w:val="both"/>
        <w:rPr>
          <w:lang w:val="es-419"/>
        </w:rPr>
      </w:pPr>
      <w:r w:rsidRPr="00EF48E5">
        <w:rPr>
          <w:rFonts w:eastAsia="Times New Roman"/>
          <w:lang w:val="es-419"/>
        </w:rPr>
        <w:t xml:space="preserve">El análisis realizado durante la preparación del perfil del ecosistema reveló que el trabajo de la mayoría de las OSC ambientales está orientado hacia las operaciones en lugar de la promoción, y la mayoría de los grupos se </w:t>
      </w:r>
      <w:r w:rsidRPr="00EF48E5">
        <w:rPr>
          <w:lang w:val="es-419"/>
        </w:rPr>
        <w:t xml:space="preserve">centran en el diseño y la implementación de actividades relacionadas con la gestión de sitios y/o especies, medios de vida sostenibles, desarrollo comunitario o educación ambiental. Se prevé que desempeñen funciones similares durante la segunda fase de inversión del CEPF, ya que estas actividades serán fundamentales para el diseño de la mayoría de los subproyectos respaldados. La identidad de las OSC locales que participarán como </w:t>
      </w:r>
      <w:proofErr w:type="spellStart"/>
      <w:r w:rsidRPr="00EF48E5">
        <w:rPr>
          <w:lang w:val="es-419"/>
        </w:rPr>
        <w:t>sub-beneficiarios</w:t>
      </w:r>
      <w:proofErr w:type="spellEnd"/>
      <w:r w:rsidRPr="00EF48E5">
        <w:rPr>
          <w:lang w:val="es-419"/>
        </w:rPr>
        <w:t xml:space="preserve"> aún no se conoce porque las </w:t>
      </w:r>
      <w:proofErr w:type="spellStart"/>
      <w:r w:rsidRPr="00EF48E5">
        <w:rPr>
          <w:lang w:val="es-419"/>
        </w:rPr>
        <w:t>sub-</w:t>
      </w:r>
      <w:proofErr w:type="gramStart"/>
      <w:r w:rsidR="00EF48E5">
        <w:rPr>
          <w:lang w:val="es-419"/>
        </w:rPr>
        <w:t>subvenciones</w:t>
      </w:r>
      <w:proofErr w:type="spellEnd"/>
      <w:r w:rsidR="00EF48E5">
        <w:rPr>
          <w:lang w:val="es-419"/>
        </w:rPr>
        <w:t xml:space="preserve"> </w:t>
      </w:r>
      <w:r w:rsidRPr="00EF48E5">
        <w:rPr>
          <w:lang w:val="es-419"/>
        </w:rPr>
        <w:t xml:space="preserve"> se</w:t>
      </w:r>
      <w:proofErr w:type="gramEnd"/>
      <w:r w:rsidRPr="00EF48E5">
        <w:rPr>
          <w:lang w:val="es-419"/>
        </w:rPr>
        <w:t xml:space="preserve"> otorgarán sobre una base competitiva después de convocatorias abiertas. Se proporciona una lista indicativa de OSC locales en los países del proyecto para dar un ejemplo de los tipos de organizaciones que posiblemente podrían convertirse en </w:t>
      </w:r>
      <w:proofErr w:type="spellStart"/>
      <w:r w:rsidRPr="00EF48E5">
        <w:rPr>
          <w:lang w:val="es-419"/>
        </w:rPr>
        <w:t>sub-beneficiarios</w:t>
      </w:r>
      <w:proofErr w:type="spellEnd"/>
      <w:r w:rsidRPr="00EF48E5">
        <w:rPr>
          <w:lang w:val="es-419"/>
        </w:rPr>
        <w:t>. La inclusión en esta lista, de ninguna manera, indica la predeterminación de que una organización será apoyada por la segunda fase de inversión del CEPF.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3023"/>
        <w:gridCol w:w="5522"/>
      </w:tblGrid>
      <w:tr w:rsidR="00710C7F" w:rsidRPr="00EF48E5" w14:paraId="1B5790D1" w14:textId="77777777" w:rsidTr="0068794A">
        <w:tc>
          <w:tcPr>
            <w:tcW w:w="805" w:type="dxa"/>
          </w:tcPr>
          <w:p w14:paraId="28A8555D" w14:textId="77777777" w:rsidR="00710C7F" w:rsidRPr="00EF48E5" w:rsidRDefault="00710C7F" w:rsidP="001B362D">
            <w:pPr>
              <w:rPr>
                <w:b/>
                <w:bCs/>
                <w:lang w:val="es-419"/>
              </w:rPr>
            </w:pPr>
            <w:r w:rsidRPr="00EF48E5">
              <w:rPr>
                <w:lang w:val="es-419"/>
              </w:rPr>
              <w:t>#</w:t>
            </w:r>
          </w:p>
        </w:tc>
        <w:tc>
          <w:tcPr>
            <w:tcW w:w="3023" w:type="dxa"/>
          </w:tcPr>
          <w:p w14:paraId="5CDF8DA0" w14:textId="77777777" w:rsidR="00710C7F" w:rsidRPr="00EF48E5" w:rsidRDefault="00710C7F" w:rsidP="001B362D">
            <w:pPr>
              <w:rPr>
                <w:b/>
                <w:bCs/>
                <w:lang w:val="es-419"/>
              </w:rPr>
            </w:pPr>
            <w:r w:rsidRPr="00EF48E5">
              <w:rPr>
                <w:b/>
                <w:bCs/>
                <w:lang w:val="es-419"/>
              </w:rPr>
              <w:t>País</w:t>
            </w:r>
          </w:p>
        </w:tc>
        <w:tc>
          <w:tcPr>
            <w:tcW w:w="5522" w:type="dxa"/>
          </w:tcPr>
          <w:p w14:paraId="07491FDA" w14:textId="0635D0E4" w:rsidR="00710C7F" w:rsidRPr="00EF48E5" w:rsidRDefault="00EF48E5" w:rsidP="001B362D">
            <w:pPr>
              <w:rPr>
                <w:b/>
                <w:bCs/>
                <w:lang w:val="es-419"/>
              </w:rPr>
            </w:pPr>
            <w:r>
              <w:rPr>
                <w:b/>
                <w:bCs/>
                <w:lang w:val="es-419"/>
              </w:rPr>
              <w:t>N</w:t>
            </w:r>
            <w:r w:rsidR="00710C7F" w:rsidRPr="00EF48E5">
              <w:rPr>
                <w:b/>
                <w:bCs/>
                <w:lang w:val="es-419"/>
              </w:rPr>
              <w:t>ombre de la organización</w:t>
            </w:r>
          </w:p>
        </w:tc>
      </w:tr>
      <w:tr w:rsidR="00710C7F" w:rsidRPr="00EF48E5" w14:paraId="0D0E3619" w14:textId="77777777" w:rsidTr="0068794A">
        <w:tc>
          <w:tcPr>
            <w:tcW w:w="805" w:type="dxa"/>
          </w:tcPr>
          <w:p w14:paraId="095B5242" w14:textId="77777777" w:rsidR="00710C7F" w:rsidRPr="00EF48E5" w:rsidRDefault="00710C7F" w:rsidP="001B362D">
            <w:pPr>
              <w:rPr>
                <w:lang w:val="es-419"/>
              </w:rPr>
            </w:pPr>
            <w:r w:rsidRPr="00EF48E5">
              <w:rPr>
                <w:lang w:val="es-419"/>
              </w:rPr>
              <w:t>1</w:t>
            </w:r>
          </w:p>
        </w:tc>
        <w:tc>
          <w:tcPr>
            <w:tcW w:w="3023" w:type="dxa"/>
          </w:tcPr>
          <w:p w14:paraId="0F6F6786" w14:textId="77777777" w:rsidR="00710C7F" w:rsidRPr="00EF48E5" w:rsidRDefault="00710C7F" w:rsidP="001B362D">
            <w:pPr>
              <w:rPr>
                <w:lang w:val="es-419"/>
              </w:rPr>
            </w:pPr>
            <w:r w:rsidRPr="00EF48E5">
              <w:rPr>
                <w:lang w:val="es-419"/>
              </w:rPr>
              <w:t>Antigua y Barbuda</w:t>
            </w:r>
          </w:p>
        </w:tc>
        <w:tc>
          <w:tcPr>
            <w:tcW w:w="5522" w:type="dxa"/>
          </w:tcPr>
          <w:p w14:paraId="3FE34656" w14:textId="3044642D" w:rsidR="00710C7F" w:rsidRPr="00EF48E5" w:rsidRDefault="00EF48E5" w:rsidP="001B362D">
            <w:pPr>
              <w:rPr>
                <w:lang w:val="es-419"/>
              </w:rPr>
            </w:pPr>
            <w:r>
              <w:rPr>
                <w:lang w:val="es-419"/>
              </w:rPr>
              <w:t>Gr</w:t>
            </w:r>
            <w:r w:rsidR="00710C7F" w:rsidRPr="00EF48E5">
              <w:rPr>
                <w:lang w:val="es-419"/>
              </w:rPr>
              <w:t>upo de conciencia ambiental inc.</w:t>
            </w:r>
          </w:p>
        </w:tc>
      </w:tr>
      <w:tr w:rsidR="00710C7F" w:rsidRPr="00EF48E5" w14:paraId="2FB69929" w14:textId="77777777" w:rsidTr="0068794A">
        <w:tc>
          <w:tcPr>
            <w:tcW w:w="805" w:type="dxa"/>
          </w:tcPr>
          <w:p w14:paraId="753E2349" w14:textId="77777777" w:rsidR="00710C7F" w:rsidRPr="00EF48E5" w:rsidRDefault="00710C7F" w:rsidP="001B362D">
            <w:pPr>
              <w:rPr>
                <w:lang w:val="es-419"/>
              </w:rPr>
            </w:pPr>
            <w:r w:rsidRPr="00EF48E5">
              <w:rPr>
                <w:lang w:val="es-419"/>
              </w:rPr>
              <w:t>2</w:t>
            </w:r>
          </w:p>
        </w:tc>
        <w:tc>
          <w:tcPr>
            <w:tcW w:w="3023" w:type="dxa"/>
          </w:tcPr>
          <w:p w14:paraId="6BDCAF4A" w14:textId="77777777" w:rsidR="00710C7F" w:rsidRPr="00EF48E5" w:rsidRDefault="00710C7F" w:rsidP="001B362D">
            <w:pPr>
              <w:rPr>
                <w:lang w:val="es-419"/>
              </w:rPr>
            </w:pPr>
            <w:r w:rsidRPr="00EF48E5">
              <w:rPr>
                <w:lang w:val="es-419"/>
              </w:rPr>
              <w:t>Las Bahamas</w:t>
            </w:r>
          </w:p>
        </w:tc>
        <w:tc>
          <w:tcPr>
            <w:tcW w:w="5522" w:type="dxa"/>
          </w:tcPr>
          <w:p w14:paraId="0C3D88D2" w14:textId="77777777" w:rsidR="00710C7F" w:rsidRPr="00EF48E5" w:rsidRDefault="00710C7F" w:rsidP="001B362D">
            <w:pPr>
              <w:rPr>
                <w:lang w:val="es-419"/>
              </w:rPr>
            </w:pPr>
            <w:r w:rsidRPr="00EF48E5">
              <w:rPr>
                <w:lang w:val="es-419"/>
              </w:rPr>
              <w:t>Fideicomiso Nacional de las Bahamas</w:t>
            </w:r>
          </w:p>
        </w:tc>
      </w:tr>
      <w:tr w:rsidR="00710C7F" w:rsidRPr="00EF48E5" w14:paraId="21936049" w14:textId="77777777" w:rsidTr="0068794A">
        <w:tc>
          <w:tcPr>
            <w:tcW w:w="805" w:type="dxa"/>
          </w:tcPr>
          <w:p w14:paraId="0B1E8E91" w14:textId="77777777" w:rsidR="00710C7F" w:rsidRPr="00EF48E5" w:rsidRDefault="00710C7F" w:rsidP="001B362D">
            <w:pPr>
              <w:rPr>
                <w:lang w:val="es-419"/>
              </w:rPr>
            </w:pPr>
            <w:r w:rsidRPr="00EF48E5">
              <w:rPr>
                <w:lang w:val="es-419"/>
              </w:rPr>
              <w:lastRenderedPageBreak/>
              <w:t>3</w:t>
            </w:r>
          </w:p>
        </w:tc>
        <w:tc>
          <w:tcPr>
            <w:tcW w:w="3023" w:type="dxa"/>
          </w:tcPr>
          <w:p w14:paraId="2E500DE5" w14:textId="77777777" w:rsidR="00710C7F" w:rsidRPr="00EF48E5" w:rsidRDefault="00710C7F" w:rsidP="001B362D">
            <w:pPr>
              <w:rPr>
                <w:lang w:val="es-419"/>
              </w:rPr>
            </w:pPr>
            <w:r w:rsidRPr="00EF48E5">
              <w:rPr>
                <w:lang w:val="es-419"/>
              </w:rPr>
              <w:t>República Dominicana</w:t>
            </w:r>
          </w:p>
        </w:tc>
        <w:tc>
          <w:tcPr>
            <w:tcW w:w="5522" w:type="dxa"/>
          </w:tcPr>
          <w:p w14:paraId="5031CD07" w14:textId="77777777" w:rsidR="00710C7F" w:rsidRPr="00EF48E5" w:rsidRDefault="00710C7F" w:rsidP="001B362D">
            <w:pPr>
              <w:rPr>
                <w:lang w:val="es-419"/>
              </w:rPr>
            </w:pPr>
            <w:r w:rsidRPr="00EF48E5">
              <w:rPr>
                <w:lang w:val="es-419"/>
              </w:rPr>
              <w:t>Consorcio Ambiental Dominicano</w:t>
            </w:r>
          </w:p>
        </w:tc>
      </w:tr>
      <w:tr w:rsidR="00710C7F" w:rsidRPr="00EF48E5" w14:paraId="71CFB422" w14:textId="77777777" w:rsidTr="0068794A">
        <w:tc>
          <w:tcPr>
            <w:tcW w:w="805" w:type="dxa"/>
          </w:tcPr>
          <w:p w14:paraId="2DE182B9" w14:textId="77777777" w:rsidR="00710C7F" w:rsidRPr="00EF48E5" w:rsidRDefault="00710C7F" w:rsidP="001B362D">
            <w:pPr>
              <w:rPr>
                <w:lang w:val="es-419"/>
              </w:rPr>
            </w:pPr>
            <w:r w:rsidRPr="00EF48E5">
              <w:rPr>
                <w:lang w:val="es-419"/>
              </w:rPr>
              <w:t>4</w:t>
            </w:r>
          </w:p>
        </w:tc>
        <w:tc>
          <w:tcPr>
            <w:tcW w:w="3023" w:type="dxa"/>
          </w:tcPr>
          <w:p w14:paraId="3F60C182" w14:textId="77777777" w:rsidR="00710C7F" w:rsidRPr="00EF48E5" w:rsidRDefault="00710C7F" w:rsidP="001B362D">
            <w:pPr>
              <w:rPr>
                <w:lang w:val="es-419"/>
              </w:rPr>
            </w:pPr>
            <w:r w:rsidRPr="00EF48E5">
              <w:rPr>
                <w:lang w:val="es-419"/>
              </w:rPr>
              <w:t>República Dominicana</w:t>
            </w:r>
          </w:p>
        </w:tc>
        <w:tc>
          <w:tcPr>
            <w:tcW w:w="5522" w:type="dxa"/>
          </w:tcPr>
          <w:p w14:paraId="7DEC6AF2" w14:textId="5765D4D6" w:rsidR="00710C7F" w:rsidRPr="00EF48E5" w:rsidRDefault="00710C7F" w:rsidP="001B362D">
            <w:pPr>
              <w:rPr>
                <w:lang w:val="es-419"/>
              </w:rPr>
            </w:pPr>
            <w:r w:rsidRPr="00EF48E5">
              <w:rPr>
                <w:lang w:val="es-419"/>
              </w:rPr>
              <w:t xml:space="preserve">Fondo </w:t>
            </w:r>
            <w:proofErr w:type="spellStart"/>
            <w:r w:rsidR="00EF48E5">
              <w:rPr>
                <w:lang w:val="es-419"/>
              </w:rPr>
              <w:t>P</w:t>
            </w:r>
            <w:r w:rsidRPr="00EF48E5">
              <w:rPr>
                <w:lang w:val="es-419"/>
              </w:rPr>
              <w:t>ronaturaleza</w:t>
            </w:r>
            <w:proofErr w:type="spellEnd"/>
            <w:r w:rsidRPr="00EF48E5">
              <w:rPr>
                <w:lang w:val="es-419"/>
              </w:rPr>
              <w:t xml:space="preserve"> inc.</w:t>
            </w:r>
          </w:p>
        </w:tc>
      </w:tr>
      <w:tr w:rsidR="00710C7F" w:rsidRPr="00EF48E5" w14:paraId="0133F0BB" w14:textId="77777777" w:rsidTr="0068794A">
        <w:tc>
          <w:tcPr>
            <w:tcW w:w="805" w:type="dxa"/>
          </w:tcPr>
          <w:p w14:paraId="483E5DAF" w14:textId="77777777" w:rsidR="00710C7F" w:rsidRPr="00EF48E5" w:rsidRDefault="00710C7F" w:rsidP="001B362D">
            <w:pPr>
              <w:rPr>
                <w:lang w:val="es-419"/>
              </w:rPr>
            </w:pPr>
            <w:r w:rsidRPr="00EF48E5">
              <w:rPr>
                <w:lang w:val="es-419"/>
              </w:rPr>
              <w:t>5</w:t>
            </w:r>
          </w:p>
        </w:tc>
        <w:tc>
          <w:tcPr>
            <w:tcW w:w="3023" w:type="dxa"/>
          </w:tcPr>
          <w:p w14:paraId="1B9CDA9E" w14:textId="77777777" w:rsidR="00710C7F" w:rsidRPr="00EF48E5" w:rsidRDefault="00710C7F" w:rsidP="001B362D">
            <w:pPr>
              <w:rPr>
                <w:lang w:val="es-419"/>
              </w:rPr>
            </w:pPr>
            <w:r w:rsidRPr="00EF48E5">
              <w:rPr>
                <w:lang w:val="es-419"/>
              </w:rPr>
              <w:t>República Dominicana</w:t>
            </w:r>
          </w:p>
        </w:tc>
        <w:tc>
          <w:tcPr>
            <w:tcW w:w="5522" w:type="dxa"/>
          </w:tcPr>
          <w:p w14:paraId="6B7BA348" w14:textId="77777777" w:rsidR="00710C7F" w:rsidRPr="00EF48E5" w:rsidRDefault="00710C7F" w:rsidP="001B362D">
            <w:pPr>
              <w:rPr>
                <w:lang w:val="es-419"/>
              </w:rPr>
            </w:pPr>
            <w:r w:rsidRPr="00EF48E5">
              <w:rPr>
                <w:lang w:val="es-419"/>
              </w:rPr>
              <w:t>Fundación José Delio Guzmán Inc.</w:t>
            </w:r>
          </w:p>
        </w:tc>
      </w:tr>
      <w:tr w:rsidR="00710C7F" w:rsidRPr="00EF48E5" w14:paraId="475EC74E" w14:textId="77777777" w:rsidTr="0068794A">
        <w:tc>
          <w:tcPr>
            <w:tcW w:w="805" w:type="dxa"/>
          </w:tcPr>
          <w:p w14:paraId="40A6D4E1" w14:textId="77777777" w:rsidR="00710C7F" w:rsidRPr="00EF48E5" w:rsidRDefault="00710C7F" w:rsidP="001B362D">
            <w:pPr>
              <w:rPr>
                <w:lang w:val="es-419"/>
              </w:rPr>
            </w:pPr>
            <w:r w:rsidRPr="00EF48E5">
              <w:rPr>
                <w:lang w:val="es-419"/>
              </w:rPr>
              <w:t>6</w:t>
            </w:r>
          </w:p>
        </w:tc>
        <w:tc>
          <w:tcPr>
            <w:tcW w:w="3023" w:type="dxa"/>
          </w:tcPr>
          <w:p w14:paraId="5B419640" w14:textId="77777777" w:rsidR="00710C7F" w:rsidRPr="00EF48E5" w:rsidRDefault="00710C7F" w:rsidP="001B362D">
            <w:pPr>
              <w:rPr>
                <w:lang w:val="es-419"/>
              </w:rPr>
            </w:pPr>
            <w:r w:rsidRPr="00EF48E5">
              <w:rPr>
                <w:lang w:val="es-419"/>
              </w:rPr>
              <w:t>República Dominicana</w:t>
            </w:r>
          </w:p>
        </w:tc>
        <w:tc>
          <w:tcPr>
            <w:tcW w:w="5522" w:type="dxa"/>
          </w:tcPr>
          <w:p w14:paraId="7E2E0ABC" w14:textId="77777777" w:rsidR="00710C7F" w:rsidRPr="00EF48E5" w:rsidRDefault="00710C7F" w:rsidP="001B362D">
            <w:pPr>
              <w:rPr>
                <w:lang w:val="es-419"/>
              </w:rPr>
            </w:pPr>
            <w:r w:rsidRPr="00EF48E5">
              <w:rPr>
                <w:lang w:val="es-419"/>
              </w:rPr>
              <w:t xml:space="preserve">Grupo </w:t>
            </w:r>
            <w:proofErr w:type="spellStart"/>
            <w:r w:rsidRPr="00EF48E5">
              <w:rPr>
                <w:lang w:val="es-419"/>
              </w:rPr>
              <w:t>Jaraguá</w:t>
            </w:r>
            <w:proofErr w:type="spellEnd"/>
          </w:p>
        </w:tc>
      </w:tr>
      <w:tr w:rsidR="00710C7F" w:rsidRPr="00EF48E5" w14:paraId="20CBF1FB" w14:textId="77777777" w:rsidTr="0068794A">
        <w:tc>
          <w:tcPr>
            <w:tcW w:w="805" w:type="dxa"/>
          </w:tcPr>
          <w:p w14:paraId="1A10E2AA" w14:textId="77777777" w:rsidR="00710C7F" w:rsidRPr="00EF48E5" w:rsidRDefault="00710C7F" w:rsidP="001B362D">
            <w:pPr>
              <w:rPr>
                <w:lang w:val="es-419"/>
              </w:rPr>
            </w:pPr>
            <w:r w:rsidRPr="00EF48E5">
              <w:rPr>
                <w:lang w:val="es-419"/>
              </w:rPr>
              <w:t>7</w:t>
            </w:r>
          </w:p>
        </w:tc>
        <w:tc>
          <w:tcPr>
            <w:tcW w:w="3023" w:type="dxa"/>
          </w:tcPr>
          <w:p w14:paraId="14D459BE" w14:textId="77777777" w:rsidR="00710C7F" w:rsidRPr="00EF48E5" w:rsidRDefault="00710C7F" w:rsidP="001B362D">
            <w:pPr>
              <w:rPr>
                <w:lang w:val="es-419"/>
              </w:rPr>
            </w:pPr>
            <w:r w:rsidRPr="00EF48E5">
              <w:rPr>
                <w:lang w:val="es-419"/>
              </w:rPr>
              <w:t>República Dominicana</w:t>
            </w:r>
          </w:p>
        </w:tc>
        <w:tc>
          <w:tcPr>
            <w:tcW w:w="5522" w:type="dxa"/>
          </w:tcPr>
          <w:p w14:paraId="31839A87" w14:textId="77777777" w:rsidR="00710C7F" w:rsidRPr="00EF48E5" w:rsidRDefault="00710C7F" w:rsidP="001B362D">
            <w:pPr>
              <w:rPr>
                <w:lang w:val="es-419"/>
              </w:rPr>
            </w:pPr>
            <w:r w:rsidRPr="00EF48E5">
              <w:rPr>
                <w:lang w:val="es-419"/>
              </w:rPr>
              <w:t>Instituto Dominicano de Desarrollo Integral, Inc.</w:t>
            </w:r>
          </w:p>
        </w:tc>
      </w:tr>
      <w:tr w:rsidR="00710C7F" w:rsidRPr="00EF48E5" w14:paraId="41A02342" w14:textId="77777777" w:rsidTr="0068794A">
        <w:tc>
          <w:tcPr>
            <w:tcW w:w="805" w:type="dxa"/>
          </w:tcPr>
          <w:p w14:paraId="4B0EE1DB" w14:textId="77777777" w:rsidR="00710C7F" w:rsidRPr="00EF48E5" w:rsidRDefault="00710C7F" w:rsidP="001B362D">
            <w:pPr>
              <w:rPr>
                <w:lang w:val="es-419"/>
              </w:rPr>
            </w:pPr>
            <w:r w:rsidRPr="00EF48E5">
              <w:rPr>
                <w:lang w:val="es-419"/>
              </w:rPr>
              <w:t>8</w:t>
            </w:r>
          </w:p>
        </w:tc>
        <w:tc>
          <w:tcPr>
            <w:tcW w:w="3023" w:type="dxa"/>
          </w:tcPr>
          <w:p w14:paraId="14FB66D4" w14:textId="77777777" w:rsidR="00710C7F" w:rsidRPr="00EF48E5" w:rsidRDefault="00710C7F" w:rsidP="001B362D">
            <w:pPr>
              <w:rPr>
                <w:lang w:val="es-419"/>
              </w:rPr>
            </w:pPr>
            <w:r w:rsidRPr="00EF48E5">
              <w:rPr>
                <w:lang w:val="es-419"/>
              </w:rPr>
              <w:t>República Dominicana</w:t>
            </w:r>
          </w:p>
        </w:tc>
        <w:tc>
          <w:tcPr>
            <w:tcW w:w="5522" w:type="dxa"/>
          </w:tcPr>
          <w:p w14:paraId="0BA48572" w14:textId="77777777" w:rsidR="00710C7F" w:rsidRPr="00EF48E5" w:rsidRDefault="00710C7F" w:rsidP="001B362D">
            <w:pPr>
              <w:rPr>
                <w:lang w:val="es-419"/>
              </w:rPr>
            </w:pPr>
            <w:proofErr w:type="spellStart"/>
            <w:r w:rsidRPr="00EF48E5">
              <w:rPr>
                <w:lang w:val="es-419"/>
              </w:rPr>
              <w:t>Kiunzi</w:t>
            </w:r>
            <w:proofErr w:type="spellEnd"/>
            <w:r w:rsidRPr="00EF48E5">
              <w:rPr>
                <w:lang w:val="es-419"/>
              </w:rPr>
              <w:t xml:space="preserve"> SRL</w:t>
            </w:r>
          </w:p>
        </w:tc>
      </w:tr>
      <w:tr w:rsidR="00710C7F" w:rsidRPr="00EF48E5" w14:paraId="697D56F6" w14:textId="77777777" w:rsidTr="0068794A">
        <w:tc>
          <w:tcPr>
            <w:tcW w:w="805" w:type="dxa"/>
          </w:tcPr>
          <w:p w14:paraId="37756156" w14:textId="77777777" w:rsidR="00710C7F" w:rsidRPr="00EF48E5" w:rsidRDefault="00710C7F" w:rsidP="001B362D">
            <w:pPr>
              <w:rPr>
                <w:lang w:val="es-419"/>
              </w:rPr>
            </w:pPr>
            <w:r w:rsidRPr="00EF48E5">
              <w:rPr>
                <w:lang w:val="es-419"/>
              </w:rPr>
              <w:t>9</w:t>
            </w:r>
          </w:p>
        </w:tc>
        <w:tc>
          <w:tcPr>
            <w:tcW w:w="3023" w:type="dxa"/>
          </w:tcPr>
          <w:p w14:paraId="2D23E939" w14:textId="77777777" w:rsidR="00710C7F" w:rsidRPr="00EF48E5" w:rsidRDefault="00710C7F" w:rsidP="001B362D">
            <w:pPr>
              <w:rPr>
                <w:lang w:val="es-419"/>
              </w:rPr>
            </w:pPr>
            <w:r w:rsidRPr="00EF48E5">
              <w:rPr>
                <w:lang w:val="es-419"/>
              </w:rPr>
              <w:t>República Dominicana</w:t>
            </w:r>
          </w:p>
        </w:tc>
        <w:tc>
          <w:tcPr>
            <w:tcW w:w="5522" w:type="dxa"/>
          </w:tcPr>
          <w:p w14:paraId="55B70666" w14:textId="3A7EE2BC" w:rsidR="00710C7F" w:rsidRPr="00EF48E5" w:rsidRDefault="00710C7F" w:rsidP="001B362D">
            <w:pPr>
              <w:rPr>
                <w:lang w:val="es-419"/>
              </w:rPr>
            </w:pPr>
            <w:r w:rsidRPr="00EF48E5">
              <w:rPr>
                <w:lang w:val="es-419"/>
              </w:rPr>
              <w:t xml:space="preserve">Sociedad Ornitológica de la </w:t>
            </w:r>
            <w:proofErr w:type="spellStart"/>
            <w:r w:rsidRPr="00EF48E5">
              <w:rPr>
                <w:lang w:val="es-419"/>
              </w:rPr>
              <w:t>Hispaniola</w:t>
            </w:r>
            <w:proofErr w:type="spellEnd"/>
          </w:p>
        </w:tc>
      </w:tr>
      <w:tr w:rsidR="00710C7F" w:rsidRPr="00EF48E5" w14:paraId="4B33A18B" w14:textId="77777777" w:rsidTr="0068794A">
        <w:tc>
          <w:tcPr>
            <w:tcW w:w="805" w:type="dxa"/>
          </w:tcPr>
          <w:p w14:paraId="087E0864" w14:textId="77777777" w:rsidR="00710C7F" w:rsidRPr="00EF48E5" w:rsidRDefault="00710C7F" w:rsidP="001B362D">
            <w:pPr>
              <w:rPr>
                <w:lang w:val="es-419"/>
              </w:rPr>
            </w:pPr>
            <w:r w:rsidRPr="00EF48E5">
              <w:rPr>
                <w:lang w:val="es-419"/>
              </w:rPr>
              <w:t>10</w:t>
            </w:r>
          </w:p>
        </w:tc>
        <w:tc>
          <w:tcPr>
            <w:tcW w:w="3023" w:type="dxa"/>
          </w:tcPr>
          <w:p w14:paraId="6614A2D1" w14:textId="77777777" w:rsidR="00710C7F" w:rsidRPr="00EF48E5" w:rsidRDefault="00710C7F" w:rsidP="001B362D">
            <w:pPr>
              <w:rPr>
                <w:lang w:val="es-419"/>
              </w:rPr>
            </w:pPr>
            <w:r w:rsidRPr="00EF48E5">
              <w:rPr>
                <w:lang w:val="es-419"/>
              </w:rPr>
              <w:t>República Dominicana</w:t>
            </w:r>
          </w:p>
        </w:tc>
        <w:tc>
          <w:tcPr>
            <w:tcW w:w="5522" w:type="dxa"/>
          </w:tcPr>
          <w:p w14:paraId="40B7187F" w14:textId="4753FC07" w:rsidR="00710C7F" w:rsidRPr="00EF48E5" w:rsidRDefault="00710C7F" w:rsidP="001B362D">
            <w:pPr>
              <w:rPr>
                <w:lang w:val="es-419"/>
              </w:rPr>
            </w:pPr>
            <w:r w:rsidRPr="00EF48E5">
              <w:rPr>
                <w:lang w:val="es-419"/>
              </w:rPr>
              <w:t xml:space="preserve">Sociedad </w:t>
            </w:r>
            <w:r w:rsidR="00D65300">
              <w:rPr>
                <w:lang w:val="es-419"/>
              </w:rPr>
              <w:t>p</w:t>
            </w:r>
            <w:r w:rsidRPr="00EF48E5">
              <w:rPr>
                <w:lang w:val="es-419"/>
              </w:rPr>
              <w:t>ara el Desarrollo Integral del Nordeste, Inc.</w:t>
            </w:r>
          </w:p>
        </w:tc>
      </w:tr>
      <w:tr w:rsidR="00710C7F" w:rsidRPr="00EF48E5" w14:paraId="121D9212" w14:textId="77777777" w:rsidTr="0068794A">
        <w:tc>
          <w:tcPr>
            <w:tcW w:w="805" w:type="dxa"/>
          </w:tcPr>
          <w:p w14:paraId="16C9306F" w14:textId="77777777" w:rsidR="00710C7F" w:rsidRPr="00EF48E5" w:rsidRDefault="00710C7F" w:rsidP="001B362D">
            <w:pPr>
              <w:rPr>
                <w:lang w:val="es-419"/>
              </w:rPr>
            </w:pPr>
            <w:r w:rsidRPr="00EF48E5">
              <w:rPr>
                <w:lang w:val="es-419"/>
              </w:rPr>
              <w:t>11</w:t>
            </w:r>
          </w:p>
        </w:tc>
        <w:tc>
          <w:tcPr>
            <w:tcW w:w="3023" w:type="dxa"/>
          </w:tcPr>
          <w:p w14:paraId="3F53CB1F" w14:textId="77777777" w:rsidR="00710C7F" w:rsidRPr="00EF48E5" w:rsidRDefault="00710C7F" w:rsidP="001B362D">
            <w:pPr>
              <w:rPr>
                <w:lang w:val="es-419"/>
              </w:rPr>
            </w:pPr>
            <w:r w:rsidRPr="00EF48E5">
              <w:rPr>
                <w:lang w:val="es-419"/>
              </w:rPr>
              <w:t>Haití</w:t>
            </w:r>
          </w:p>
        </w:tc>
        <w:tc>
          <w:tcPr>
            <w:tcW w:w="5522" w:type="dxa"/>
          </w:tcPr>
          <w:p w14:paraId="0CA431F7" w14:textId="77777777" w:rsidR="00710C7F" w:rsidRPr="00EF48E5" w:rsidRDefault="00710C7F" w:rsidP="001B362D">
            <w:pPr>
              <w:rPr>
                <w:lang w:val="es-419"/>
              </w:rPr>
            </w:pPr>
            <w:r w:rsidRPr="00EF48E5">
              <w:rPr>
                <w:lang w:val="es-419"/>
              </w:rPr>
              <w:t>Centro para el Desarrollo Agropecuario y Forestal, Inc.</w:t>
            </w:r>
          </w:p>
        </w:tc>
      </w:tr>
      <w:tr w:rsidR="00710C7F" w:rsidRPr="00EF48E5" w14:paraId="2DFA343C" w14:textId="77777777" w:rsidTr="0068794A">
        <w:tc>
          <w:tcPr>
            <w:tcW w:w="805" w:type="dxa"/>
          </w:tcPr>
          <w:p w14:paraId="13797F01" w14:textId="77777777" w:rsidR="00710C7F" w:rsidRPr="00EF48E5" w:rsidRDefault="00710C7F" w:rsidP="001B362D">
            <w:pPr>
              <w:rPr>
                <w:lang w:val="es-419"/>
              </w:rPr>
            </w:pPr>
            <w:r w:rsidRPr="00EF48E5">
              <w:rPr>
                <w:lang w:val="es-419"/>
              </w:rPr>
              <w:t>12</w:t>
            </w:r>
          </w:p>
        </w:tc>
        <w:tc>
          <w:tcPr>
            <w:tcW w:w="3023" w:type="dxa"/>
          </w:tcPr>
          <w:p w14:paraId="370A0143" w14:textId="77777777" w:rsidR="00710C7F" w:rsidRPr="00EF48E5" w:rsidRDefault="00710C7F" w:rsidP="001B362D">
            <w:pPr>
              <w:rPr>
                <w:lang w:val="es-419"/>
              </w:rPr>
            </w:pPr>
            <w:r w:rsidRPr="00EF48E5">
              <w:rPr>
                <w:lang w:val="es-419"/>
              </w:rPr>
              <w:t>Haití</w:t>
            </w:r>
          </w:p>
        </w:tc>
        <w:tc>
          <w:tcPr>
            <w:tcW w:w="5522" w:type="dxa"/>
          </w:tcPr>
          <w:p w14:paraId="15DF2E26" w14:textId="034F020A" w:rsidR="00710C7F" w:rsidRPr="00EF48E5" w:rsidRDefault="00710C7F" w:rsidP="001B362D">
            <w:pPr>
              <w:rPr>
                <w:lang w:val="es-419"/>
              </w:rPr>
            </w:pPr>
            <w:r w:rsidRPr="00EF48E5">
              <w:rPr>
                <w:lang w:val="es-419"/>
              </w:rPr>
              <w:t xml:space="preserve">Colectivo </w:t>
            </w:r>
            <w:r w:rsidR="00D65300">
              <w:rPr>
                <w:lang w:val="es-419"/>
              </w:rPr>
              <w:t>D</w:t>
            </w:r>
            <w:r w:rsidRPr="00EF48E5">
              <w:rPr>
                <w:lang w:val="es-419"/>
              </w:rPr>
              <w:t>esarrollo</w:t>
            </w:r>
          </w:p>
        </w:tc>
      </w:tr>
      <w:tr w:rsidR="00710C7F" w:rsidRPr="00EF48E5" w14:paraId="36BC7219" w14:textId="77777777" w:rsidTr="0068794A">
        <w:tc>
          <w:tcPr>
            <w:tcW w:w="805" w:type="dxa"/>
          </w:tcPr>
          <w:p w14:paraId="72B29FC3" w14:textId="77777777" w:rsidR="00710C7F" w:rsidRPr="00EF48E5" w:rsidRDefault="00710C7F" w:rsidP="001B362D">
            <w:pPr>
              <w:rPr>
                <w:lang w:val="es-419"/>
              </w:rPr>
            </w:pPr>
            <w:r w:rsidRPr="00EF48E5">
              <w:rPr>
                <w:lang w:val="es-419"/>
              </w:rPr>
              <w:t>13</w:t>
            </w:r>
          </w:p>
        </w:tc>
        <w:tc>
          <w:tcPr>
            <w:tcW w:w="3023" w:type="dxa"/>
          </w:tcPr>
          <w:p w14:paraId="49A7DDFF" w14:textId="77777777" w:rsidR="00710C7F" w:rsidRPr="00EF48E5" w:rsidRDefault="00710C7F" w:rsidP="001B362D">
            <w:pPr>
              <w:rPr>
                <w:lang w:val="es-419"/>
              </w:rPr>
            </w:pPr>
            <w:r w:rsidRPr="00EF48E5">
              <w:rPr>
                <w:lang w:val="es-419"/>
              </w:rPr>
              <w:t>Haití</w:t>
            </w:r>
          </w:p>
        </w:tc>
        <w:tc>
          <w:tcPr>
            <w:tcW w:w="5522" w:type="dxa"/>
          </w:tcPr>
          <w:p w14:paraId="47FC57AD" w14:textId="77777777" w:rsidR="00710C7F" w:rsidRPr="00EF48E5" w:rsidRDefault="00710C7F" w:rsidP="001B362D">
            <w:pPr>
              <w:rPr>
                <w:lang w:val="es-419"/>
              </w:rPr>
            </w:pPr>
            <w:r w:rsidRPr="00EF48E5">
              <w:rPr>
                <w:lang w:val="es-419"/>
              </w:rPr>
              <w:t xml:space="preserve">Fundación </w:t>
            </w:r>
            <w:proofErr w:type="spellStart"/>
            <w:r w:rsidRPr="00EF48E5">
              <w:rPr>
                <w:lang w:val="es-419"/>
              </w:rPr>
              <w:t>Nouvelle</w:t>
            </w:r>
            <w:proofErr w:type="spellEnd"/>
            <w:r w:rsidRPr="00EF48E5">
              <w:rPr>
                <w:lang w:val="es-419"/>
              </w:rPr>
              <w:t xml:space="preserve"> </w:t>
            </w:r>
            <w:proofErr w:type="spellStart"/>
            <w:r w:rsidRPr="00EF48E5">
              <w:rPr>
                <w:lang w:val="es-419"/>
              </w:rPr>
              <w:t>Grand'Anse</w:t>
            </w:r>
            <w:proofErr w:type="spellEnd"/>
          </w:p>
        </w:tc>
      </w:tr>
      <w:tr w:rsidR="00710C7F" w:rsidRPr="00EF48E5" w14:paraId="55061D32" w14:textId="77777777" w:rsidTr="0068794A">
        <w:tc>
          <w:tcPr>
            <w:tcW w:w="805" w:type="dxa"/>
          </w:tcPr>
          <w:p w14:paraId="7671F249" w14:textId="77777777" w:rsidR="00710C7F" w:rsidRPr="00EF48E5" w:rsidRDefault="00710C7F" w:rsidP="001B362D">
            <w:pPr>
              <w:rPr>
                <w:lang w:val="es-419"/>
              </w:rPr>
            </w:pPr>
            <w:r w:rsidRPr="00EF48E5">
              <w:rPr>
                <w:lang w:val="es-419"/>
              </w:rPr>
              <w:t>14</w:t>
            </w:r>
          </w:p>
        </w:tc>
        <w:tc>
          <w:tcPr>
            <w:tcW w:w="3023" w:type="dxa"/>
          </w:tcPr>
          <w:p w14:paraId="0C68C61F" w14:textId="77777777" w:rsidR="00710C7F" w:rsidRPr="00EF48E5" w:rsidRDefault="00710C7F" w:rsidP="001B362D">
            <w:pPr>
              <w:rPr>
                <w:lang w:val="es-419"/>
              </w:rPr>
            </w:pPr>
            <w:r w:rsidRPr="00EF48E5">
              <w:rPr>
                <w:lang w:val="es-419"/>
              </w:rPr>
              <w:t>Haití</w:t>
            </w:r>
          </w:p>
        </w:tc>
        <w:tc>
          <w:tcPr>
            <w:tcW w:w="5522" w:type="dxa"/>
          </w:tcPr>
          <w:p w14:paraId="2A854072" w14:textId="77777777" w:rsidR="00710C7F" w:rsidRPr="00EF48E5" w:rsidRDefault="00710C7F" w:rsidP="001B362D">
            <w:pPr>
              <w:rPr>
                <w:lang w:val="es-419"/>
              </w:rPr>
            </w:pPr>
            <w:r w:rsidRPr="00EF48E5">
              <w:rPr>
                <w:lang w:val="es-419"/>
              </w:rPr>
              <w:t>Fundación para la Protección de la Biodiversidad Marina</w:t>
            </w:r>
          </w:p>
        </w:tc>
      </w:tr>
      <w:tr w:rsidR="00710C7F" w:rsidRPr="00EF48E5" w14:paraId="6A9949D6" w14:textId="77777777" w:rsidTr="0068794A">
        <w:tc>
          <w:tcPr>
            <w:tcW w:w="805" w:type="dxa"/>
          </w:tcPr>
          <w:p w14:paraId="669AE173" w14:textId="77777777" w:rsidR="00710C7F" w:rsidRPr="00EF48E5" w:rsidRDefault="00710C7F" w:rsidP="001B362D">
            <w:pPr>
              <w:rPr>
                <w:lang w:val="es-419"/>
              </w:rPr>
            </w:pPr>
            <w:r w:rsidRPr="00EF48E5">
              <w:rPr>
                <w:lang w:val="es-419"/>
              </w:rPr>
              <w:t>15</w:t>
            </w:r>
          </w:p>
        </w:tc>
        <w:tc>
          <w:tcPr>
            <w:tcW w:w="3023" w:type="dxa"/>
          </w:tcPr>
          <w:p w14:paraId="5EC7F442" w14:textId="77777777" w:rsidR="00710C7F" w:rsidRPr="00EF48E5" w:rsidRDefault="00710C7F" w:rsidP="001B362D">
            <w:pPr>
              <w:rPr>
                <w:lang w:val="es-419"/>
              </w:rPr>
            </w:pPr>
            <w:r w:rsidRPr="00EF48E5">
              <w:rPr>
                <w:lang w:val="es-419"/>
              </w:rPr>
              <w:t>Haití</w:t>
            </w:r>
          </w:p>
        </w:tc>
        <w:tc>
          <w:tcPr>
            <w:tcW w:w="5522" w:type="dxa"/>
          </w:tcPr>
          <w:p w14:paraId="37F26F01" w14:textId="77777777" w:rsidR="00710C7F" w:rsidRPr="00EF48E5" w:rsidRDefault="00710C7F" w:rsidP="001B362D">
            <w:pPr>
              <w:rPr>
                <w:lang w:val="es-419"/>
              </w:rPr>
            </w:pPr>
            <w:proofErr w:type="spellStart"/>
            <w:r w:rsidRPr="00EF48E5">
              <w:rPr>
                <w:lang w:val="es-419"/>
              </w:rPr>
              <w:t>Organisation</w:t>
            </w:r>
            <w:proofErr w:type="spellEnd"/>
            <w:r w:rsidRPr="00EF48E5">
              <w:rPr>
                <w:lang w:val="es-419"/>
              </w:rPr>
              <w:t xml:space="preserve"> </w:t>
            </w:r>
            <w:proofErr w:type="spellStart"/>
            <w:r w:rsidRPr="00EF48E5">
              <w:rPr>
                <w:lang w:val="es-419"/>
              </w:rPr>
              <w:t>pour</w:t>
            </w:r>
            <w:proofErr w:type="spellEnd"/>
            <w:r w:rsidRPr="00EF48E5">
              <w:rPr>
                <w:lang w:val="es-419"/>
              </w:rPr>
              <w:t xml:space="preserve"> la </w:t>
            </w:r>
            <w:proofErr w:type="spellStart"/>
            <w:r w:rsidRPr="00EF48E5">
              <w:rPr>
                <w:lang w:val="es-419"/>
              </w:rPr>
              <w:t>Rehabilitation</w:t>
            </w:r>
            <w:proofErr w:type="spellEnd"/>
            <w:r w:rsidRPr="00EF48E5">
              <w:rPr>
                <w:lang w:val="es-419"/>
              </w:rPr>
              <w:t xml:space="preserve"> de </w:t>
            </w:r>
            <w:proofErr w:type="spellStart"/>
            <w:r w:rsidRPr="00EF48E5">
              <w:rPr>
                <w:lang w:val="es-419"/>
              </w:rPr>
              <w:t>l'Environnement</w:t>
            </w:r>
            <w:proofErr w:type="spellEnd"/>
          </w:p>
        </w:tc>
      </w:tr>
      <w:tr w:rsidR="00710C7F" w:rsidRPr="00EF48E5" w14:paraId="7BF1FF19" w14:textId="77777777" w:rsidTr="0068794A">
        <w:tc>
          <w:tcPr>
            <w:tcW w:w="805" w:type="dxa"/>
          </w:tcPr>
          <w:p w14:paraId="15B273BB" w14:textId="5FF27B35" w:rsidR="00710C7F" w:rsidRPr="00EF48E5" w:rsidRDefault="00D65300" w:rsidP="001B362D">
            <w:pPr>
              <w:rPr>
                <w:lang w:val="es-419"/>
              </w:rPr>
            </w:pPr>
            <w:r>
              <w:rPr>
                <w:lang w:val="es-419"/>
              </w:rPr>
              <w:t>16</w:t>
            </w:r>
          </w:p>
        </w:tc>
        <w:tc>
          <w:tcPr>
            <w:tcW w:w="3023" w:type="dxa"/>
          </w:tcPr>
          <w:p w14:paraId="7A0E905E" w14:textId="77777777" w:rsidR="00710C7F" w:rsidRPr="00EF48E5" w:rsidRDefault="00710C7F" w:rsidP="001B362D">
            <w:pPr>
              <w:rPr>
                <w:lang w:val="es-419"/>
              </w:rPr>
            </w:pPr>
            <w:r w:rsidRPr="00EF48E5">
              <w:rPr>
                <w:lang w:val="es-419"/>
              </w:rPr>
              <w:t>Haití</w:t>
            </w:r>
          </w:p>
        </w:tc>
        <w:tc>
          <w:tcPr>
            <w:tcW w:w="5522" w:type="dxa"/>
          </w:tcPr>
          <w:p w14:paraId="1BC55246" w14:textId="77777777" w:rsidR="00710C7F" w:rsidRPr="00EF48E5" w:rsidRDefault="00710C7F" w:rsidP="001B362D">
            <w:pPr>
              <w:rPr>
                <w:lang w:val="es-419"/>
              </w:rPr>
            </w:pPr>
            <w:proofErr w:type="spellStart"/>
            <w:r w:rsidRPr="00EF48E5">
              <w:rPr>
                <w:lang w:val="es-419"/>
              </w:rPr>
              <w:t>Reseau</w:t>
            </w:r>
            <w:proofErr w:type="spellEnd"/>
            <w:r w:rsidRPr="00EF48E5">
              <w:rPr>
                <w:lang w:val="es-419"/>
              </w:rPr>
              <w:t xml:space="preserve"> </w:t>
            </w:r>
            <w:proofErr w:type="spellStart"/>
            <w:r w:rsidRPr="00EF48E5">
              <w:rPr>
                <w:lang w:val="es-419"/>
              </w:rPr>
              <w:t>d'Enseignement</w:t>
            </w:r>
            <w:proofErr w:type="spellEnd"/>
            <w:r w:rsidRPr="00EF48E5">
              <w:rPr>
                <w:lang w:val="es-419"/>
              </w:rPr>
              <w:t xml:space="preserve"> </w:t>
            </w:r>
            <w:proofErr w:type="spellStart"/>
            <w:r w:rsidRPr="00EF48E5">
              <w:rPr>
                <w:lang w:val="es-419"/>
              </w:rPr>
              <w:t>Professionnel</w:t>
            </w:r>
            <w:proofErr w:type="spellEnd"/>
            <w:r w:rsidRPr="00EF48E5">
              <w:rPr>
                <w:lang w:val="es-419"/>
              </w:rPr>
              <w:t xml:space="preserve"> et </w:t>
            </w:r>
            <w:proofErr w:type="spellStart"/>
            <w:r w:rsidRPr="00EF48E5">
              <w:rPr>
                <w:lang w:val="es-419"/>
              </w:rPr>
              <w:t>d'Interventions</w:t>
            </w:r>
            <w:proofErr w:type="spellEnd"/>
            <w:r w:rsidRPr="00EF48E5">
              <w:rPr>
                <w:lang w:val="es-419"/>
              </w:rPr>
              <w:t xml:space="preserve"> </w:t>
            </w:r>
            <w:proofErr w:type="spellStart"/>
            <w:r w:rsidRPr="00EF48E5">
              <w:rPr>
                <w:lang w:val="es-419"/>
              </w:rPr>
              <w:t>Ecologiques</w:t>
            </w:r>
            <w:proofErr w:type="spellEnd"/>
          </w:p>
        </w:tc>
      </w:tr>
      <w:tr w:rsidR="00710C7F" w:rsidRPr="00EF48E5" w14:paraId="0D916E8D" w14:textId="77777777" w:rsidTr="0068794A">
        <w:tc>
          <w:tcPr>
            <w:tcW w:w="805" w:type="dxa"/>
          </w:tcPr>
          <w:p w14:paraId="0DD460B7" w14:textId="77777777" w:rsidR="00710C7F" w:rsidRPr="00EF48E5" w:rsidRDefault="00710C7F" w:rsidP="001B362D">
            <w:pPr>
              <w:rPr>
                <w:lang w:val="es-419"/>
              </w:rPr>
            </w:pPr>
            <w:r w:rsidRPr="00EF48E5">
              <w:rPr>
                <w:lang w:val="es-419"/>
              </w:rPr>
              <w:t>17</w:t>
            </w:r>
          </w:p>
        </w:tc>
        <w:tc>
          <w:tcPr>
            <w:tcW w:w="3023" w:type="dxa"/>
          </w:tcPr>
          <w:p w14:paraId="278EFF0F" w14:textId="77777777" w:rsidR="00710C7F" w:rsidRPr="00EF48E5" w:rsidRDefault="00710C7F" w:rsidP="001B362D">
            <w:pPr>
              <w:rPr>
                <w:lang w:val="es-419"/>
              </w:rPr>
            </w:pPr>
            <w:r w:rsidRPr="00EF48E5">
              <w:rPr>
                <w:lang w:val="es-419"/>
              </w:rPr>
              <w:t>Haití</w:t>
            </w:r>
          </w:p>
        </w:tc>
        <w:tc>
          <w:tcPr>
            <w:tcW w:w="5522" w:type="dxa"/>
          </w:tcPr>
          <w:p w14:paraId="33DBAD3B" w14:textId="77777777" w:rsidR="00710C7F" w:rsidRPr="00EF48E5" w:rsidRDefault="00710C7F" w:rsidP="001B362D">
            <w:pPr>
              <w:rPr>
                <w:lang w:val="es-419"/>
              </w:rPr>
            </w:pPr>
            <w:r w:rsidRPr="00EF48E5">
              <w:rPr>
                <w:lang w:val="es-419"/>
              </w:rPr>
              <w:t>Sociedad Audubon Haití</w:t>
            </w:r>
          </w:p>
        </w:tc>
      </w:tr>
      <w:tr w:rsidR="00710C7F" w:rsidRPr="00EF48E5" w14:paraId="2A111552" w14:textId="77777777" w:rsidTr="0068794A">
        <w:tc>
          <w:tcPr>
            <w:tcW w:w="805" w:type="dxa"/>
          </w:tcPr>
          <w:p w14:paraId="1F4AE0F4" w14:textId="77777777" w:rsidR="00710C7F" w:rsidRPr="00EF48E5" w:rsidRDefault="00710C7F" w:rsidP="001B362D">
            <w:pPr>
              <w:rPr>
                <w:lang w:val="es-419"/>
              </w:rPr>
            </w:pPr>
            <w:r w:rsidRPr="00EF48E5">
              <w:rPr>
                <w:lang w:val="es-419"/>
              </w:rPr>
              <w:t>18</w:t>
            </w:r>
          </w:p>
        </w:tc>
        <w:tc>
          <w:tcPr>
            <w:tcW w:w="3023" w:type="dxa"/>
          </w:tcPr>
          <w:p w14:paraId="16A4C04B" w14:textId="77777777" w:rsidR="00710C7F" w:rsidRPr="00EF48E5" w:rsidRDefault="00710C7F" w:rsidP="001B362D">
            <w:pPr>
              <w:rPr>
                <w:lang w:val="es-419"/>
              </w:rPr>
            </w:pPr>
            <w:r w:rsidRPr="00EF48E5">
              <w:rPr>
                <w:lang w:val="es-419"/>
              </w:rPr>
              <w:t>Jamaica</w:t>
            </w:r>
          </w:p>
        </w:tc>
        <w:tc>
          <w:tcPr>
            <w:tcW w:w="5522" w:type="dxa"/>
          </w:tcPr>
          <w:p w14:paraId="4971B3F2" w14:textId="77777777" w:rsidR="00710C7F" w:rsidRPr="00EF48E5" w:rsidRDefault="00710C7F" w:rsidP="001B362D">
            <w:pPr>
              <w:rPr>
                <w:lang w:val="es-419"/>
              </w:rPr>
            </w:pPr>
            <w:r w:rsidRPr="00EF48E5">
              <w:rPr>
                <w:lang w:val="es-419"/>
              </w:rPr>
              <w:t>Fundación para el Manejo del Área Costera del Caribe</w:t>
            </w:r>
          </w:p>
        </w:tc>
      </w:tr>
      <w:tr w:rsidR="00710C7F" w:rsidRPr="00EF48E5" w14:paraId="19528933" w14:textId="77777777" w:rsidTr="0068794A">
        <w:tc>
          <w:tcPr>
            <w:tcW w:w="805" w:type="dxa"/>
          </w:tcPr>
          <w:p w14:paraId="6C6BAC6D" w14:textId="77777777" w:rsidR="00710C7F" w:rsidRPr="00EF48E5" w:rsidRDefault="00710C7F" w:rsidP="001B362D">
            <w:pPr>
              <w:rPr>
                <w:lang w:val="es-419"/>
              </w:rPr>
            </w:pPr>
            <w:r w:rsidRPr="00EF48E5">
              <w:rPr>
                <w:lang w:val="es-419"/>
              </w:rPr>
              <w:t>19</w:t>
            </w:r>
          </w:p>
        </w:tc>
        <w:tc>
          <w:tcPr>
            <w:tcW w:w="3023" w:type="dxa"/>
          </w:tcPr>
          <w:p w14:paraId="79C2AFEE" w14:textId="77777777" w:rsidR="00710C7F" w:rsidRPr="00EF48E5" w:rsidRDefault="00710C7F" w:rsidP="001B362D">
            <w:pPr>
              <w:rPr>
                <w:lang w:val="es-419"/>
              </w:rPr>
            </w:pPr>
            <w:r w:rsidRPr="00EF48E5">
              <w:rPr>
                <w:lang w:val="es-419"/>
              </w:rPr>
              <w:t>Jamaica</w:t>
            </w:r>
          </w:p>
        </w:tc>
        <w:tc>
          <w:tcPr>
            <w:tcW w:w="5522" w:type="dxa"/>
          </w:tcPr>
          <w:p w14:paraId="3CE431AD" w14:textId="77777777" w:rsidR="00710C7F" w:rsidRPr="00EF48E5" w:rsidRDefault="00710C7F" w:rsidP="001B362D">
            <w:pPr>
              <w:rPr>
                <w:lang w:val="es-419"/>
              </w:rPr>
            </w:pPr>
            <w:r w:rsidRPr="00EF48E5">
              <w:rPr>
                <w:lang w:val="es-419"/>
              </w:rPr>
              <w:t>Fundación de Resolución de Disputas</w:t>
            </w:r>
          </w:p>
        </w:tc>
      </w:tr>
      <w:tr w:rsidR="00710C7F" w:rsidRPr="00EF48E5" w14:paraId="3434E9BA" w14:textId="77777777" w:rsidTr="0068794A">
        <w:tc>
          <w:tcPr>
            <w:tcW w:w="805" w:type="dxa"/>
          </w:tcPr>
          <w:p w14:paraId="0E662AB8" w14:textId="77777777" w:rsidR="00710C7F" w:rsidRPr="00EF48E5" w:rsidRDefault="00710C7F" w:rsidP="001B362D">
            <w:pPr>
              <w:rPr>
                <w:lang w:val="es-419"/>
              </w:rPr>
            </w:pPr>
            <w:r w:rsidRPr="00EF48E5">
              <w:rPr>
                <w:lang w:val="es-419"/>
              </w:rPr>
              <w:t>20</w:t>
            </w:r>
          </w:p>
        </w:tc>
        <w:tc>
          <w:tcPr>
            <w:tcW w:w="3023" w:type="dxa"/>
          </w:tcPr>
          <w:p w14:paraId="0081895F" w14:textId="77777777" w:rsidR="00710C7F" w:rsidRPr="00EF48E5" w:rsidRDefault="00710C7F" w:rsidP="001B362D">
            <w:pPr>
              <w:rPr>
                <w:lang w:val="es-419"/>
              </w:rPr>
            </w:pPr>
            <w:r w:rsidRPr="00EF48E5">
              <w:rPr>
                <w:lang w:val="es-419"/>
              </w:rPr>
              <w:t>Jamaica</w:t>
            </w:r>
          </w:p>
        </w:tc>
        <w:tc>
          <w:tcPr>
            <w:tcW w:w="5522" w:type="dxa"/>
          </w:tcPr>
          <w:p w14:paraId="047FC1A8" w14:textId="77777777" w:rsidR="00710C7F" w:rsidRPr="00EF48E5" w:rsidRDefault="00710C7F" w:rsidP="001B362D">
            <w:pPr>
              <w:rPr>
                <w:lang w:val="es-419"/>
              </w:rPr>
            </w:pPr>
            <w:r w:rsidRPr="00EF48E5">
              <w:rPr>
                <w:lang w:val="es-419"/>
              </w:rPr>
              <w:t>Fundación Ambiental de Jamaica</w:t>
            </w:r>
          </w:p>
        </w:tc>
      </w:tr>
      <w:tr w:rsidR="00710C7F" w:rsidRPr="00EF48E5" w14:paraId="1A5CE87B" w14:textId="77777777" w:rsidTr="0068794A">
        <w:tc>
          <w:tcPr>
            <w:tcW w:w="805" w:type="dxa"/>
          </w:tcPr>
          <w:p w14:paraId="6CF76389" w14:textId="77777777" w:rsidR="00710C7F" w:rsidRPr="00EF48E5" w:rsidRDefault="00710C7F" w:rsidP="001B362D">
            <w:pPr>
              <w:rPr>
                <w:lang w:val="es-419"/>
              </w:rPr>
            </w:pPr>
            <w:r w:rsidRPr="00EF48E5">
              <w:rPr>
                <w:lang w:val="es-419"/>
              </w:rPr>
              <w:t>21</w:t>
            </w:r>
          </w:p>
        </w:tc>
        <w:tc>
          <w:tcPr>
            <w:tcW w:w="3023" w:type="dxa"/>
          </w:tcPr>
          <w:p w14:paraId="69B26CF3" w14:textId="77777777" w:rsidR="00710C7F" w:rsidRPr="00EF48E5" w:rsidRDefault="00710C7F" w:rsidP="001B362D">
            <w:pPr>
              <w:rPr>
                <w:lang w:val="es-419"/>
              </w:rPr>
            </w:pPr>
            <w:r w:rsidRPr="00EF48E5">
              <w:rPr>
                <w:lang w:val="es-419"/>
              </w:rPr>
              <w:t>Jamaica</w:t>
            </w:r>
          </w:p>
        </w:tc>
        <w:tc>
          <w:tcPr>
            <w:tcW w:w="5522" w:type="dxa"/>
          </w:tcPr>
          <w:p w14:paraId="7D0A9757" w14:textId="77777777" w:rsidR="00710C7F" w:rsidRPr="00EF48E5" w:rsidRDefault="00710C7F" w:rsidP="001B362D">
            <w:pPr>
              <w:rPr>
                <w:lang w:val="es-419"/>
              </w:rPr>
            </w:pPr>
            <w:r w:rsidRPr="00EF48E5">
              <w:rPr>
                <w:lang w:val="es-419"/>
              </w:rPr>
              <w:t>Fideicomiso de Conservación y Desarrollo de Jamaica</w:t>
            </w:r>
          </w:p>
        </w:tc>
      </w:tr>
      <w:tr w:rsidR="00710C7F" w:rsidRPr="00EF48E5" w14:paraId="34695D98" w14:textId="77777777" w:rsidTr="0068794A">
        <w:tc>
          <w:tcPr>
            <w:tcW w:w="805" w:type="dxa"/>
          </w:tcPr>
          <w:p w14:paraId="794F8488" w14:textId="77777777" w:rsidR="00710C7F" w:rsidRPr="00EF48E5" w:rsidRDefault="00710C7F" w:rsidP="001B362D">
            <w:pPr>
              <w:rPr>
                <w:lang w:val="es-419"/>
              </w:rPr>
            </w:pPr>
            <w:r w:rsidRPr="00EF48E5">
              <w:rPr>
                <w:lang w:val="es-419"/>
              </w:rPr>
              <w:t>22</w:t>
            </w:r>
          </w:p>
        </w:tc>
        <w:tc>
          <w:tcPr>
            <w:tcW w:w="3023" w:type="dxa"/>
          </w:tcPr>
          <w:p w14:paraId="7A9C4B0A" w14:textId="77777777" w:rsidR="00710C7F" w:rsidRPr="00EF48E5" w:rsidRDefault="00710C7F" w:rsidP="001B362D">
            <w:pPr>
              <w:rPr>
                <w:lang w:val="es-419"/>
              </w:rPr>
            </w:pPr>
            <w:r w:rsidRPr="00EF48E5">
              <w:rPr>
                <w:lang w:val="es-419"/>
              </w:rPr>
              <w:t>Jamaica</w:t>
            </w:r>
          </w:p>
        </w:tc>
        <w:tc>
          <w:tcPr>
            <w:tcW w:w="5522" w:type="dxa"/>
          </w:tcPr>
          <w:p w14:paraId="58F7C5BA" w14:textId="77777777" w:rsidR="00710C7F" w:rsidRPr="00EF48E5" w:rsidRDefault="00710C7F" w:rsidP="001B362D">
            <w:pPr>
              <w:rPr>
                <w:lang w:val="es-419"/>
              </w:rPr>
            </w:pPr>
            <w:r w:rsidRPr="00EF48E5">
              <w:rPr>
                <w:lang w:val="es-419"/>
              </w:rPr>
              <w:t>Fideicomiso Ambiental de Jamaica</w:t>
            </w:r>
          </w:p>
        </w:tc>
      </w:tr>
      <w:tr w:rsidR="00710C7F" w:rsidRPr="00EF48E5" w14:paraId="41B1ABE2" w14:textId="77777777" w:rsidTr="0068794A">
        <w:tc>
          <w:tcPr>
            <w:tcW w:w="805" w:type="dxa"/>
          </w:tcPr>
          <w:p w14:paraId="49384EB5" w14:textId="77777777" w:rsidR="00710C7F" w:rsidRPr="00EF48E5" w:rsidRDefault="00710C7F" w:rsidP="001B362D">
            <w:pPr>
              <w:rPr>
                <w:lang w:val="es-419"/>
              </w:rPr>
            </w:pPr>
            <w:r w:rsidRPr="00EF48E5">
              <w:rPr>
                <w:lang w:val="es-419"/>
              </w:rPr>
              <w:t>23</w:t>
            </w:r>
          </w:p>
        </w:tc>
        <w:tc>
          <w:tcPr>
            <w:tcW w:w="3023" w:type="dxa"/>
          </w:tcPr>
          <w:p w14:paraId="10306254" w14:textId="77777777" w:rsidR="00710C7F" w:rsidRPr="00EF48E5" w:rsidRDefault="00710C7F" w:rsidP="001B362D">
            <w:pPr>
              <w:rPr>
                <w:lang w:val="es-419"/>
              </w:rPr>
            </w:pPr>
            <w:r w:rsidRPr="00EF48E5">
              <w:rPr>
                <w:lang w:val="es-419"/>
              </w:rPr>
              <w:t>Santa Lucía</w:t>
            </w:r>
          </w:p>
        </w:tc>
        <w:tc>
          <w:tcPr>
            <w:tcW w:w="5522" w:type="dxa"/>
          </w:tcPr>
          <w:p w14:paraId="2B38EB90" w14:textId="77777777" w:rsidR="00710C7F" w:rsidRPr="00EF48E5" w:rsidRDefault="00710C7F" w:rsidP="001B362D">
            <w:pPr>
              <w:rPr>
                <w:lang w:val="es-419"/>
              </w:rPr>
            </w:pPr>
            <w:r w:rsidRPr="00EF48E5">
              <w:rPr>
                <w:lang w:val="es-419"/>
              </w:rPr>
              <w:t>Fideicomiso Nacional de Santa Lucía</w:t>
            </w:r>
          </w:p>
        </w:tc>
      </w:tr>
      <w:tr w:rsidR="00710C7F" w:rsidRPr="00EF48E5" w14:paraId="2D71F4B4" w14:textId="77777777" w:rsidTr="0068794A">
        <w:tc>
          <w:tcPr>
            <w:tcW w:w="805" w:type="dxa"/>
          </w:tcPr>
          <w:p w14:paraId="581BDC42" w14:textId="77777777" w:rsidR="00710C7F" w:rsidRPr="00EF48E5" w:rsidRDefault="00710C7F" w:rsidP="001B362D">
            <w:pPr>
              <w:rPr>
                <w:lang w:val="es-419"/>
              </w:rPr>
            </w:pPr>
            <w:r w:rsidRPr="00EF48E5">
              <w:rPr>
                <w:lang w:val="es-419"/>
              </w:rPr>
              <w:t>24</w:t>
            </w:r>
          </w:p>
        </w:tc>
        <w:tc>
          <w:tcPr>
            <w:tcW w:w="3023" w:type="dxa"/>
          </w:tcPr>
          <w:p w14:paraId="3FDDC40A" w14:textId="227F037F" w:rsidR="00710C7F" w:rsidRPr="00EF48E5" w:rsidRDefault="00710C7F" w:rsidP="001B362D">
            <w:pPr>
              <w:rPr>
                <w:lang w:val="es-419"/>
              </w:rPr>
            </w:pPr>
            <w:r w:rsidRPr="00EF48E5">
              <w:rPr>
                <w:lang w:val="es-419"/>
              </w:rPr>
              <w:t xml:space="preserve">San Vicente y las </w:t>
            </w:r>
            <w:proofErr w:type="gramStart"/>
            <w:r w:rsidRPr="00EF48E5">
              <w:rPr>
                <w:lang w:val="es-419"/>
              </w:rPr>
              <w:t>Granadinas</w:t>
            </w:r>
            <w:proofErr w:type="gramEnd"/>
          </w:p>
        </w:tc>
        <w:tc>
          <w:tcPr>
            <w:tcW w:w="5522" w:type="dxa"/>
          </w:tcPr>
          <w:p w14:paraId="39B69B56" w14:textId="77777777" w:rsidR="00710C7F" w:rsidRPr="00EF48E5" w:rsidRDefault="00710C7F" w:rsidP="001B362D">
            <w:pPr>
              <w:rPr>
                <w:lang w:val="es-419"/>
              </w:rPr>
            </w:pPr>
            <w:r w:rsidRPr="00EF48E5">
              <w:rPr>
                <w:lang w:val="es-419"/>
              </w:rPr>
              <w:t xml:space="preserve">Fideicomiso Nacional de San Vicente y las </w:t>
            </w:r>
            <w:proofErr w:type="gramStart"/>
            <w:r w:rsidRPr="00EF48E5">
              <w:rPr>
                <w:lang w:val="es-419"/>
              </w:rPr>
              <w:t>Granadinas</w:t>
            </w:r>
            <w:proofErr w:type="gramEnd"/>
          </w:p>
        </w:tc>
      </w:tr>
      <w:tr w:rsidR="00825CD3" w:rsidRPr="00EF48E5" w14:paraId="08BDDEC6" w14:textId="77777777" w:rsidTr="0068794A">
        <w:tc>
          <w:tcPr>
            <w:tcW w:w="805" w:type="dxa"/>
          </w:tcPr>
          <w:p w14:paraId="23A1ED39" w14:textId="70353135" w:rsidR="00825CD3" w:rsidRPr="00EF48E5" w:rsidRDefault="00825CD3" w:rsidP="001B362D">
            <w:pPr>
              <w:rPr>
                <w:lang w:val="es-419"/>
              </w:rPr>
            </w:pPr>
            <w:r w:rsidRPr="00EF48E5">
              <w:rPr>
                <w:lang w:val="es-419"/>
              </w:rPr>
              <w:t>25</w:t>
            </w:r>
          </w:p>
        </w:tc>
        <w:tc>
          <w:tcPr>
            <w:tcW w:w="3023" w:type="dxa"/>
          </w:tcPr>
          <w:p w14:paraId="161669B1" w14:textId="43FE9B77" w:rsidR="00825CD3" w:rsidRPr="00EF48E5" w:rsidRDefault="00825CD3" w:rsidP="001B362D">
            <w:pPr>
              <w:rPr>
                <w:lang w:val="es-419"/>
              </w:rPr>
            </w:pPr>
            <w:r w:rsidRPr="00EF48E5">
              <w:rPr>
                <w:lang w:val="es-419"/>
              </w:rPr>
              <w:t xml:space="preserve">San Vicente y las </w:t>
            </w:r>
            <w:proofErr w:type="gramStart"/>
            <w:r w:rsidRPr="00EF48E5">
              <w:rPr>
                <w:lang w:val="es-419"/>
              </w:rPr>
              <w:t>Granadinas</w:t>
            </w:r>
            <w:proofErr w:type="gramEnd"/>
          </w:p>
        </w:tc>
        <w:tc>
          <w:tcPr>
            <w:tcW w:w="5522" w:type="dxa"/>
          </w:tcPr>
          <w:p w14:paraId="74E177CD" w14:textId="521F4A77" w:rsidR="00825CD3" w:rsidRPr="00EF48E5" w:rsidRDefault="00825CD3" w:rsidP="001B362D">
            <w:pPr>
              <w:rPr>
                <w:lang w:val="es-419"/>
              </w:rPr>
            </w:pPr>
            <w:r w:rsidRPr="00EF48E5">
              <w:rPr>
                <w:lang w:val="es-419"/>
              </w:rPr>
              <w:t>Granadinas Sostenibles Inc.</w:t>
            </w:r>
          </w:p>
        </w:tc>
      </w:tr>
    </w:tbl>
    <w:p w14:paraId="07C57BA7" w14:textId="77777777" w:rsidR="00710C7F" w:rsidRPr="00EF48E5" w:rsidRDefault="00710C7F" w:rsidP="00710C7F">
      <w:pPr>
        <w:spacing w:before="160"/>
        <w:rPr>
          <w:b/>
          <w:bCs/>
          <w:lang w:val="es-419"/>
        </w:rPr>
      </w:pPr>
      <w:r w:rsidRPr="00EF48E5">
        <w:rPr>
          <w:b/>
          <w:bCs/>
          <w:lang w:val="es-419"/>
        </w:rPr>
        <w:t>Instituciones académicas</w:t>
      </w:r>
    </w:p>
    <w:p w14:paraId="3E257C7A" w14:textId="07B39132" w:rsidR="00710C7F" w:rsidRPr="00EF48E5" w:rsidRDefault="00710C7F" w:rsidP="00710C7F">
      <w:pPr>
        <w:jc w:val="both"/>
        <w:rPr>
          <w:lang w:val="es-419"/>
        </w:rPr>
      </w:pPr>
      <w:r w:rsidRPr="00EF48E5">
        <w:rPr>
          <w:lang w:val="es-419"/>
        </w:rPr>
        <w:t xml:space="preserve">Las instituciones de investigación y educación terciaria en las islas del Caribe juegan un papel importante en el apoyo a la conservación de la biodiversidad y la gestión ambiental a través de su investigación, educación y divulgación. Este compromiso se produce en diferentes niveles. Las instituciones académicas pueden </w:t>
      </w:r>
      <w:r w:rsidRPr="00EF48E5">
        <w:rPr>
          <w:iCs/>
          <w:lang w:val="es-419"/>
        </w:rPr>
        <w:t xml:space="preserve">asociarse con las comunidades locales y las OSC para realizar investigaciones personalizadas </w:t>
      </w:r>
      <w:proofErr w:type="gramStart"/>
      <w:r w:rsidRPr="00EF48E5">
        <w:rPr>
          <w:iCs/>
          <w:lang w:val="es-419"/>
        </w:rPr>
        <w:t>( p. ej</w:t>
      </w:r>
      <w:r w:rsidR="00ED622F">
        <w:rPr>
          <w:iCs/>
          <w:lang w:val="es-419"/>
        </w:rPr>
        <w:t>.</w:t>
      </w:r>
      <w:proofErr w:type="gramEnd"/>
      <w:r w:rsidRPr="00EF48E5">
        <w:rPr>
          <w:iCs/>
          <w:lang w:val="es-419"/>
        </w:rPr>
        <w:t xml:space="preserve">, evaluaciones del cambio climático, evaluaciones sociales o inventarios de biodiversidad) en apoyo de la implementación del proyecto. Las instituciones académicas también pueden colaborar con instituciones y agencias gubernamentales para promover la conservación y la gestión sostenible de la biodiversidad y para informar las políticas y regulaciones ambientales. </w:t>
      </w:r>
      <w:r w:rsidRPr="00EF48E5">
        <w:rPr>
          <w:lang w:val="es-419"/>
        </w:rPr>
        <w:t>Además, las instituciones académicas pueden desempeñar un papel de liderazgo en la implementación de programas de conservación nacionales o regionales.</w:t>
      </w:r>
    </w:p>
    <w:p w14:paraId="3F2520BF" w14:textId="07D38E7C" w:rsidR="00710C7F" w:rsidRPr="00EF48E5" w:rsidRDefault="00710C7F" w:rsidP="00710C7F">
      <w:pPr>
        <w:jc w:val="both"/>
        <w:rPr>
          <w:lang w:val="es-419"/>
        </w:rPr>
      </w:pPr>
      <w:r w:rsidRPr="00EF48E5">
        <w:rPr>
          <w:lang w:val="es-419"/>
        </w:rPr>
        <w:t xml:space="preserve">El perfil del ecosistema identificó 28 instituciones académicas con programas ambientales en los países del proyecto, con la gran mayoría en la República Dominicana. En 2012, 10 universidades de República Dominicana formaron la </w:t>
      </w:r>
      <w:bookmarkStart w:id="12" w:name="_Hlk498383743"/>
      <w:r w:rsidRPr="00EF48E5">
        <w:rPr>
          <w:lang w:val="es-419"/>
        </w:rPr>
        <w:t xml:space="preserve">Red Ambiental de Universidades Dominicanas </w:t>
      </w:r>
      <w:r w:rsidR="00E6323A">
        <w:rPr>
          <w:lang w:val="es-419"/>
        </w:rPr>
        <w:t>(</w:t>
      </w:r>
      <w:r w:rsidRPr="00EF48E5">
        <w:rPr>
          <w:lang w:val="es-419"/>
        </w:rPr>
        <w:t xml:space="preserve">RAUDO) </w:t>
      </w:r>
      <w:bookmarkEnd w:id="12"/>
      <w:r w:rsidRPr="00EF48E5">
        <w:rPr>
          <w:lang w:val="es-419"/>
        </w:rPr>
        <w:t>para apoyar el desarrollo sostenible del país reuniendo las capacidades de estas instituciones de educación superior para generar y difundir conocimiento ambiental dentro de la comunidad académica y la sociedad en general, a través de la educación, la investigación y la extensión. La red ahora incluye 17 universidades, incluido el INTEC. Se proporciona una lista indicativa de instituciones académicas en los países del proyecto para dar un ejemplo de los tipos de organizaciones que podrían desempeñar un papel en la segunda fase de inversión del CEPF.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3023"/>
        <w:gridCol w:w="5522"/>
      </w:tblGrid>
      <w:tr w:rsidR="00710C7F" w:rsidRPr="00EF48E5" w14:paraId="326AE632" w14:textId="77777777" w:rsidTr="0068794A">
        <w:tc>
          <w:tcPr>
            <w:tcW w:w="805" w:type="dxa"/>
          </w:tcPr>
          <w:p w14:paraId="0E6623B8" w14:textId="77777777" w:rsidR="00710C7F" w:rsidRPr="00EF48E5" w:rsidRDefault="00710C7F" w:rsidP="001B362D">
            <w:pPr>
              <w:rPr>
                <w:b/>
                <w:bCs/>
                <w:lang w:val="es-419"/>
              </w:rPr>
            </w:pPr>
            <w:r w:rsidRPr="00EF48E5">
              <w:rPr>
                <w:b/>
                <w:bCs/>
                <w:lang w:val="es-419"/>
              </w:rPr>
              <w:t>#</w:t>
            </w:r>
          </w:p>
        </w:tc>
        <w:tc>
          <w:tcPr>
            <w:tcW w:w="3023" w:type="dxa"/>
          </w:tcPr>
          <w:p w14:paraId="7F7505A2" w14:textId="77777777" w:rsidR="00710C7F" w:rsidRPr="00EF48E5" w:rsidRDefault="00710C7F" w:rsidP="001B362D">
            <w:pPr>
              <w:rPr>
                <w:b/>
                <w:bCs/>
                <w:lang w:val="es-419"/>
              </w:rPr>
            </w:pPr>
            <w:r w:rsidRPr="00EF48E5">
              <w:rPr>
                <w:b/>
                <w:bCs/>
                <w:lang w:val="es-419"/>
              </w:rPr>
              <w:t>País</w:t>
            </w:r>
          </w:p>
        </w:tc>
        <w:tc>
          <w:tcPr>
            <w:tcW w:w="5522" w:type="dxa"/>
          </w:tcPr>
          <w:p w14:paraId="4766161B" w14:textId="6EA4F1B5" w:rsidR="00710C7F" w:rsidRPr="00EF48E5" w:rsidRDefault="00E6323A" w:rsidP="001B362D">
            <w:pPr>
              <w:rPr>
                <w:b/>
                <w:bCs/>
                <w:lang w:val="es-419"/>
              </w:rPr>
            </w:pPr>
            <w:r>
              <w:rPr>
                <w:b/>
                <w:bCs/>
                <w:lang w:val="es-419"/>
              </w:rPr>
              <w:t>N</w:t>
            </w:r>
            <w:r w:rsidR="00710C7F" w:rsidRPr="00EF48E5">
              <w:rPr>
                <w:b/>
                <w:bCs/>
                <w:lang w:val="es-419"/>
              </w:rPr>
              <w:t>ombre de la organización</w:t>
            </w:r>
          </w:p>
        </w:tc>
      </w:tr>
      <w:tr w:rsidR="00710C7F" w:rsidRPr="00EF48E5" w14:paraId="044C8DC5" w14:textId="77777777" w:rsidTr="0068794A">
        <w:tc>
          <w:tcPr>
            <w:tcW w:w="805" w:type="dxa"/>
          </w:tcPr>
          <w:p w14:paraId="4A0DE494" w14:textId="77777777" w:rsidR="00710C7F" w:rsidRPr="00EF48E5" w:rsidRDefault="00710C7F" w:rsidP="001B362D">
            <w:pPr>
              <w:rPr>
                <w:lang w:val="es-419"/>
              </w:rPr>
            </w:pPr>
            <w:r w:rsidRPr="00EF48E5">
              <w:rPr>
                <w:lang w:val="es-419"/>
              </w:rPr>
              <w:t>1</w:t>
            </w:r>
          </w:p>
        </w:tc>
        <w:tc>
          <w:tcPr>
            <w:tcW w:w="3023" w:type="dxa"/>
          </w:tcPr>
          <w:p w14:paraId="1206E87F" w14:textId="77777777" w:rsidR="00710C7F" w:rsidRPr="00EF48E5" w:rsidRDefault="00710C7F" w:rsidP="001B362D">
            <w:pPr>
              <w:rPr>
                <w:lang w:val="es-419"/>
              </w:rPr>
            </w:pPr>
            <w:r w:rsidRPr="00EF48E5">
              <w:rPr>
                <w:lang w:val="es-419"/>
              </w:rPr>
              <w:t>Antigua y Barbuda</w:t>
            </w:r>
          </w:p>
        </w:tc>
        <w:tc>
          <w:tcPr>
            <w:tcW w:w="5522" w:type="dxa"/>
          </w:tcPr>
          <w:p w14:paraId="2E1204BD" w14:textId="6104AD84" w:rsidR="00710C7F" w:rsidRPr="00EF48E5" w:rsidRDefault="00710C7F" w:rsidP="001B362D">
            <w:pPr>
              <w:rPr>
                <w:lang w:val="es-419"/>
              </w:rPr>
            </w:pPr>
            <w:r w:rsidRPr="00EF48E5">
              <w:rPr>
                <w:lang w:val="es-419"/>
              </w:rPr>
              <w:t xml:space="preserve">Complejo de </w:t>
            </w:r>
            <w:r w:rsidR="00E6323A">
              <w:rPr>
                <w:lang w:val="es-419"/>
              </w:rPr>
              <w:t>I</w:t>
            </w:r>
            <w:r w:rsidRPr="00EF48E5">
              <w:rPr>
                <w:lang w:val="es-419"/>
              </w:rPr>
              <w:t>nvestigación de Barbuda</w:t>
            </w:r>
          </w:p>
        </w:tc>
      </w:tr>
      <w:tr w:rsidR="00710C7F" w:rsidRPr="00EF48E5" w14:paraId="4E6484F3" w14:textId="77777777" w:rsidTr="0068794A">
        <w:tc>
          <w:tcPr>
            <w:tcW w:w="805" w:type="dxa"/>
          </w:tcPr>
          <w:p w14:paraId="07E78082" w14:textId="77777777" w:rsidR="00710C7F" w:rsidRPr="00EF48E5" w:rsidRDefault="00710C7F" w:rsidP="001B362D">
            <w:pPr>
              <w:rPr>
                <w:lang w:val="es-419"/>
              </w:rPr>
            </w:pPr>
            <w:r w:rsidRPr="00EF48E5">
              <w:rPr>
                <w:lang w:val="es-419"/>
              </w:rPr>
              <w:t>2</w:t>
            </w:r>
          </w:p>
        </w:tc>
        <w:tc>
          <w:tcPr>
            <w:tcW w:w="3023" w:type="dxa"/>
          </w:tcPr>
          <w:p w14:paraId="5739A8B5" w14:textId="77777777" w:rsidR="00710C7F" w:rsidRPr="00EF48E5" w:rsidRDefault="00710C7F" w:rsidP="001B362D">
            <w:pPr>
              <w:rPr>
                <w:lang w:val="es-419"/>
              </w:rPr>
            </w:pPr>
            <w:r w:rsidRPr="00EF48E5">
              <w:rPr>
                <w:lang w:val="es-419"/>
              </w:rPr>
              <w:t>Las Bahamas</w:t>
            </w:r>
          </w:p>
        </w:tc>
        <w:tc>
          <w:tcPr>
            <w:tcW w:w="5522" w:type="dxa"/>
          </w:tcPr>
          <w:p w14:paraId="5A0A0B68" w14:textId="77777777" w:rsidR="00710C7F" w:rsidRPr="00EF48E5" w:rsidRDefault="00710C7F" w:rsidP="001B362D">
            <w:pPr>
              <w:rPr>
                <w:lang w:val="es-419"/>
              </w:rPr>
            </w:pPr>
            <w:r w:rsidRPr="00EF48E5">
              <w:rPr>
                <w:lang w:val="es-419"/>
              </w:rPr>
              <w:t>Organización de Investigación de Mamíferos Marinos de Bahamas</w:t>
            </w:r>
          </w:p>
        </w:tc>
      </w:tr>
      <w:tr w:rsidR="00710C7F" w:rsidRPr="00EF48E5" w14:paraId="4B6F56F8" w14:textId="77777777" w:rsidTr="0068794A">
        <w:tc>
          <w:tcPr>
            <w:tcW w:w="805" w:type="dxa"/>
          </w:tcPr>
          <w:p w14:paraId="014D34E6" w14:textId="77777777" w:rsidR="00710C7F" w:rsidRPr="00EF48E5" w:rsidRDefault="00710C7F" w:rsidP="001B362D">
            <w:pPr>
              <w:rPr>
                <w:lang w:val="es-419"/>
              </w:rPr>
            </w:pPr>
            <w:r w:rsidRPr="00EF48E5">
              <w:rPr>
                <w:lang w:val="es-419"/>
              </w:rPr>
              <w:t>3</w:t>
            </w:r>
          </w:p>
        </w:tc>
        <w:tc>
          <w:tcPr>
            <w:tcW w:w="3023" w:type="dxa"/>
          </w:tcPr>
          <w:p w14:paraId="09F30E23" w14:textId="77777777" w:rsidR="00710C7F" w:rsidRPr="00EF48E5" w:rsidRDefault="00710C7F" w:rsidP="001B362D">
            <w:pPr>
              <w:rPr>
                <w:lang w:val="es-419"/>
              </w:rPr>
            </w:pPr>
            <w:r w:rsidRPr="00EF48E5">
              <w:rPr>
                <w:lang w:val="es-419"/>
              </w:rPr>
              <w:t>Las Bahamas</w:t>
            </w:r>
          </w:p>
        </w:tc>
        <w:tc>
          <w:tcPr>
            <w:tcW w:w="5522" w:type="dxa"/>
          </w:tcPr>
          <w:p w14:paraId="4C71F921" w14:textId="1BEAF03E" w:rsidR="00710C7F" w:rsidRPr="00EF48E5" w:rsidRDefault="00710C7F" w:rsidP="001B362D">
            <w:pPr>
              <w:rPr>
                <w:lang w:val="es-419"/>
              </w:rPr>
            </w:pPr>
            <w:r w:rsidRPr="00EF48E5">
              <w:rPr>
                <w:lang w:val="es-419"/>
              </w:rPr>
              <w:t xml:space="preserve">Fundación de la </w:t>
            </w:r>
            <w:r w:rsidR="00E6323A">
              <w:rPr>
                <w:lang w:val="es-419"/>
              </w:rPr>
              <w:t>E</w:t>
            </w:r>
            <w:r w:rsidRPr="00EF48E5">
              <w:rPr>
                <w:lang w:val="es-419"/>
              </w:rPr>
              <w:t xml:space="preserve">stación de </w:t>
            </w:r>
            <w:r w:rsidR="00E6323A">
              <w:rPr>
                <w:lang w:val="es-419"/>
              </w:rPr>
              <w:t>C</w:t>
            </w:r>
            <w:r w:rsidRPr="00EF48E5">
              <w:rPr>
                <w:lang w:val="es-419"/>
              </w:rPr>
              <w:t xml:space="preserve">ampo </w:t>
            </w:r>
            <w:r w:rsidR="00E6323A">
              <w:rPr>
                <w:lang w:val="es-419"/>
              </w:rPr>
              <w:t>B</w:t>
            </w:r>
            <w:r w:rsidRPr="00EF48E5">
              <w:rPr>
                <w:lang w:val="es-419"/>
              </w:rPr>
              <w:t xml:space="preserve">iológico </w:t>
            </w:r>
            <w:proofErr w:type="spellStart"/>
            <w:r w:rsidRPr="00EF48E5">
              <w:rPr>
                <w:lang w:val="es-419"/>
              </w:rPr>
              <w:t>Bimini</w:t>
            </w:r>
            <w:proofErr w:type="spellEnd"/>
          </w:p>
        </w:tc>
      </w:tr>
      <w:tr w:rsidR="00710C7F" w:rsidRPr="00EF48E5" w14:paraId="460C4991" w14:textId="77777777" w:rsidTr="0068794A">
        <w:tc>
          <w:tcPr>
            <w:tcW w:w="805" w:type="dxa"/>
          </w:tcPr>
          <w:p w14:paraId="09684083" w14:textId="77777777" w:rsidR="00710C7F" w:rsidRPr="00EF48E5" w:rsidRDefault="00710C7F" w:rsidP="001B362D">
            <w:pPr>
              <w:rPr>
                <w:lang w:val="es-419"/>
              </w:rPr>
            </w:pPr>
            <w:r w:rsidRPr="00EF48E5">
              <w:rPr>
                <w:lang w:val="es-419"/>
              </w:rPr>
              <w:t>4</w:t>
            </w:r>
          </w:p>
        </w:tc>
        <w:tc>
          <w:tcPr>
            <w:tcW w:w="3023" w:type="dxa"/>
          </w:tcPr>
          <w:p w14:paraId="7F7FA1F3" w14:textId="77777777" w:rsidR="00710C7F" w:rsidRPr="00EF48E5" w:rsidRDefault="00710C7F" w:rsidP="001B362D">
            <w:pPr>
              <w:rPr>
                <w:lang w:val="es-419"/>
              </w:rPr>
            </w:pPr>
            <w:r w:rsidRPr="00EF48E5">
              <w:rPr>
                <w:lang w:val="es-419"/>
              </w:rPr>
              <w:t>Las Bahamas</w:t>
            </w:r>
          </w:p>
        </w:tc>
        <w:tc>
          <w:tcPr>
            <w:tcW w:w="5522" w:type="dxa"/>
          </w:tcPr>
          <w:p w14:paraId="5E74E89A" w14:textId="77777777" w:rsidR="00710C7F" w:rsidRPr="00EF48E5" w:rsidRDefault="00710C7F" w:rsidP="001B362D">
            <w:pPr>
              <w:rPr>
                <w:lang w:val="es-419"/>
              </w:rPr>
            </w:pPr>
            <w:r w:rsidRPr="00EF48E5">
              <w:rPr>
                <w:lang w:val="es-419"/>
              </w:rPr>
              <w:t xml:space="preserve">Centro de Investigación </w:t>
            </w:r>
            <w:proofErr w:type="spellStart"/>
            <w:r w:rsidRPr="00EF48E5">
              <w:rPr>
                <w:lang w:val="es-419"/>
              </w:rPr>
              <w:t>Gerace</w:t>
            </w:r>
            <w:proofErr w:type="spellEnd"/>
          </w:p>
        </w:tc>
      </w:tr>
      <w:tr w:rsidR="00710C7F" w:rsidRPr="00EF48E5" w14:paraId="056E3037" w14:textId="77777777" w:rsidTr="0068794A">
        <w:tc>
          <w:tcPr>
            <w:tcW w:w="805" w:type="dxa"/>
          </w:tcPr>
          <w:p w14:paraId="606F0F8C" w14:textId="77777777" w:rsidR="00710C7F" w:rsidRPr="00EF48E5" w:rsidRDefault="00710C7F" w:rsidP="001B362D">
            <w:pPr>
              <w:rPr>
                <w:lang w:val="es-419"/>
              </w:rPr>
            </w:pPr>
            <w:r w:rsidRPr="00EF48E5">
              <w:rPr>
                <w:lang w:val="es-419"/>
              </w:rPr>
              <w:t>5</w:t>
            </w:r>
          </w:p>
        </w:tc>
        <w:tc>
          <w:tcPr>
            <w:tcW w:w="3023" w:type="dxa"/>
          </w:tcPr>
          <w:p w14:paraId="1FB45FD4" w14:textId="77777777" w:rsidR="00710C7F" w:rsidRPr="00EF48E5" w:rsidRDefault="00710C7F" w:rsidP="001B362D">
            <w:pPr>
              <w:rPr>
                <w:lang w:val="es-419"/>
              </w:rPr>
            </w:pPr>
            <w:r w:rsidRPr="00EF48E5">
              <w:rPr>
                <w:lang w:val="es-419"/>
              </w:rPr>
              <w:t>Las Bahamas</w:t>
            </w:r>
          </w:p>
        </w:tc>
        <w:tc>
          <w:tcPr>
            <w:tcW w:w="5522" w:type="dxa"/>
          </w:tcPr>
          <w:p w14:paraId="65CD060E" w14:textId="6A5BB692" w:rsidR="00710C7F" w:rsidRPr="00EF48E5" w:rsidRDefault="00BA436D" w:rsidP="001B362D">
            <w:pPr>
              <w:rPr>
                <w:lang w:val="es-419"/>
              </w:rPr>
            </w:pPr>
            <w:r>
              <w:rPr>
                <w:lang w:val="en-GB"/>
              </w:rPr>
              <w:t>T</w:t>
            </w:r>
            <w:r w:rsidRPr="002F5522">
              <w:rPr>
                <w:lang w:val="en-GB"/>
              </w:rPr>
              <w:t>he Island School</w:t>
            </w:r>
          </w:p>
        </w:tc>
      </w:tr>
      <w:tr w:rsidR="00710C7F" w:rsidRPr="00EF48E5" w14:paraId="72CB0A67" w14:textId="77777777" w:rsidTr="0068794A">
        <w:tc>
          <w:tcPr>
            <w:tcW w:w="805" w:type="dxa"/>
          </w:tcPr>
          <w:p w14:paraId="6F3C5B62" w14:textId="77777777" w:rsidR="00710C7F" w:rsidRPr="00EF48E5" w:rsidRDefault="00710C7F" w:rsidP="001B362D">
            <w:pPr>
              <w:rPr>
                <w:lang w:val="es-419"/>
              </w:rPr>
            </w:pPr>
            <w:r w:rsidRPr="00EF48E5">
              <w:rPr>
                <w:lang w:val="es-419"/>
              </w:rPr>
              <w:t>6</w:t>
            </w:r>
          </w:p>
        </w:tc>
        <w:tc>
          <w:tcPr>
            <w:tcW w:w="3023" w:type="dxa"/>
          </w:tcPr>
          <w:p w14:paraId="798AC1A6" w14:textId="77777777" w:rsidR="00710C7F" w:rsidRPr="00EF48E5" w:rsidRDefault="00710C7F" w:rsidP="001B362D">
            <w:pPr>
              <w:rPr>
                <w:lang w:val="es-419"/>
              </w:rPr>
            </w:pPr>
            <w:r w:rsidRPr="00EF48E5">
              <w:rPr>
                <w:lang w:val="es-419"/>
              </w:rPr>
              <w:t>República Dominicana</w:t>
            </w:r>
          </w:p>
        </w:tc>
        <w:tc>
          <w:tcPr>
            <w:tcW w:w="5522" w:type="dxa"/>
          </w:tcPr>
          <w:p w14:paraId="5B33F1AB" w14:textId="77777777" w:rsidR="00710C7F" w:rsidRPr="00EF48E5" w:rsidRDefault="00710C7F" w:rsidP="001B362D">
            <w:pPr>
              <w:rPr>
                <w:lang w:val="es-419"/>
              </w:rPr>
            </w:pPr>
            <w:r w:rsidRPr="00EF48E5">
              <w:rPr>
                <w:lang w:val="es-419"/>
              </w:rPr>
              <w:t>Instituto Dominicano de Investigaciones Agropecuarias y Forestales</w:t>
            </w:r>
          </w:p>
        </w:tc>
      </w:tr>
      <w:tr w:rsidR="00710C7F" w:rsidRPr="00EF48E5" w14:paraId="228B8A61" w14:textId="77777777" w:rsidTr="0068794A">
        <w:tc>
          <w:tcPr>
            <w:tcW w:w="805" w:type="dxa"/>
          </w:tcPr>
          <w:p w14:paraId="725B1716" w14:textId="77777777" w:rsidR="00710C7F" w:rsidRPr="00EF48E5" w:rsidRDefault="00710C7F" w:rsidP="001B362D">
            <w:pPr>
              <w:rPr>
                <w:lang w:val="es-419"/>
              </w:rPr>
            </w:pPr>
            <w:r w:rsidRPr="00EF48E5">
              <w:rPr>
                <w:lang w:val="es-419"/>
              </w:rPr>
              <w:t>7</w:t>
            </w:r>
          </w:p>
        </w:tc>
        <w:tc>
          <w:tcPr>
            <w:tcW w:w="3023" w:type="dxa"/>
          </w:tcPr>
          <w:p w14:paraId="2B91A8FF" w14:textId="77777777" w:rsidR="00710C7F" w:rsidRPr="00EF48E5" w:rsidRDefault="00710C7F" w:rsidP="001B362D">
            <w:pPr>
              <w:rPr>
                <w:lang w:val="es-419"/>
              </w:rPr>
            </w:pPr>
            <w:r w:rsidRPr="00EF48E5">
              <w:rPr>
                <w:lang w:val="es-419"/>
              </w:rPr>
              <w:t>República Dominicana</w:t>
            </w:r>
          </w:p>
        </w:tc>
        <w:tc>
          <w:tcPr>
            <w:tcW w:w="5522" w:type="dxa"/>
          </w:tcPr>
          <w:p w14:paraId="0E0CF7CF" w14:textId="77777777" w:rsidR="00710C7F" w:rsidRPr="00EF48E5" w:rsidRDefault="00710C7F" w:rsidP="001B362D">
            <w:pPr>
              <w:rPr>
                <w:lang w:val="es-419"/>
              </w:rPr>
            </w:pPr>
            <w:r w:rsidRPr="00EF48E5">
              <w:rPr>
                <w:lang w:val="es-419"/>
              </w:rPr>
              <w:t>Instituto Superior de Agricultura</w:t>
            </w:r>
          </w:p>
        </w:tc>
      </w:tr>
      <w:tr w:rsidR="00710C7F" w:rsidRPr="00EF48E5" w14:paraId="4C3742BE" w14:textId="77777777" w:rsidTr="0068794A">
        <w:tc>
          <w:tcPr>
            <w:tcW w:w="805" w:type="dxa"/>
          </w:tcPr>
          <w:p w14:paraId="5E487E55" w14:textId="77777777" w:rsidR="00710C7F" w:rsidRPr="00EF48E5" w:rsidRDefault="00710C7F" w:rsidP="001B362D">
            <w:pPr>
              <w:rPr>
                <w:lang w:val="es-419"/>
              </w:rPr>
            </w:pPr>
            <w:r w:rsidRPr="00EF48E5">
              <w:rPr>
                <w:lang w:val="es-419"/>
              </w:rPr>
              <w:t>8</w:t>
            </w:r>
          </w:p>
        </w:tc>
        <w:tc>
          <w:tcPr>
            <w:tcW w:w="3023" w:type="dxa"/>
          </w:tcPr>
          <w:p w14:paraId="1E236D94" w14:textId="77777777" w:rsidR="00710C7F" w:rsidRPr="00EF48E5" w:rsidRDefault="00710C7F" w:rsidP="001B362D">
            <w:pPr>
              <w:rPr>
                <w:lang w:val="es-419"/>
              </w:rPr>
            </w:pPr>
            <w:r w:rsidRPr="00EF48E5">
              <w:rPr>
                <w:lang w:val="es-419"/>
              </w:rPr>
              <w:t>República Dominicana</w:t>
            </w:r>
          </w:p>
        </w:tc>
        <w:tc>
          <w:tcPr>
            <w:tcW w:w="5522" w:type="dxa"/>
          </w:tcPr>
          <w:p w14:paraId="502F936B" w14:textId="77777777" w:rsidR="00710C7F" w:rsidRPr="00EF48E5" w:rsidRDefault="00710C7F" w:rsidP="001B362D">
            <w:pPr>
              <w:rPr>
                <w:lang w:val="es-419"/>
              </w:rPr>
            </w:pPr>
            <w:r w:rsidRPr="00EF48E5">
              <w:rPr>
                <w:lang w:val="es-419"/>
              </w:rPr>
              <w:t>Museo Nacional de Historia Nacional</w:t>
            </w:r>
          </w:p>
        </w:tc>
      </w:tr>
      <w:tr w:rsidR="00710C7F" w:rsidRPr="00EF48E5" w14:paraId="5171790B" w14:textId="77777777" w:rsidTr="0068794A">
        <w:tc>
          <w:tcPr>
            <w:tcW w:w="805" w:type="dxa"/>
          </w:tcPr>
          <w:p w14:paraId="7F0848D0" w14:textId="77777777" w:rsidR="00710C7F" w:rsidRPr="00EF48E5" w:rsidRDefault="00710C7F" w:rsidP="001B362D">
            <w:pPr>
              <w:rPr>
                <w:lang w:val="es-419"/>
              </w:rPr>
            </w:pPr>
            <w:r w:rsidRPr="00EF48E5">
              <w:rPr>
                <w:lang w:val="es-419"/>
              </w:rPr>
              <w:t>9</w:t>
            </w:r>
          </w:p>
        </w:tc>
        <w:tc>
          <w:tcPr>
            <w:tcW w:w="3023" w:type="dxa"/>
          </w:tcPr>
          <w:p w14:paraId="7BDE52F0" w14:textId="77777777" w:rsidR="00710C7F" w:rsidRPr="00EF48E5" w:rsidRDefault="00710C7F" w:rsidP="001B362D">
            <w:pPr>
              <w:rPr>
                <w:lang w:val="es-419"/>
              </w:rPr>
            </w:pPr>
            <w:r w:rsidRPr="00EF48E5">
              <w:rPr>
                <w:lang w:val="es-419"/>
              </w:rPr>
              <w:t>República Dominicana</w:t>
            </w:r>
          </w:p>
        </w:tc>
        <w:tc>
          <w:tcPr>
            <w:tcW w:w="5522" w:type="dxa"/>
          </w:tcPr>
          <w:p w14:paraId="1B20B94D" w14:textId="77777777" w:rsidR="00710C7F" w:rsidRPr="00EF48E5" w:rsidRDefault="00710C7F" w:rsidP="001B362D">
            <w:pPr>
              <w:rPr>
                <w:lang w:val="es-419"/>
              </w:rPr>
            </w:pPr>
            <w:r w:rsidRPr="00EF48E5">
              <w:rPr>
                <w:lang w:val="es-419"/>
              </w:rPr>
              <w:t>Universidad Agroforestal Fernando Arturo de Meriño</w:t>
            </w:r>
          </w:p>
        </w:tc>
      </w:tr>
      <w:tr w:rsidR="00710C7F" w:rsidRPr="00EF48E5" w14:paraId="5A290C0E" w14:textId="77777777" w:rsidTr="0068794A">
        <w:tc>
          <w:tcPr>
            <w:tcW w:w="805" w:type="dxa"/>
          </w:tcPr>
          <w:p w14:paraId="093D6C12" w14:textId="77777777" w:rsidR="00710C7F" w:rsidRPr="00EF48E5" w:rsidRDefault="00710C7F" w:rsidP="001B362D">
            <w:pPr>
              <w:rPr>
                <w:lang w:val="es-419"/>
              </w:rPr>
            </w:pPr>
            <w:r w:rsidRPr="00EF48E5">
              <w:rPr>
                <w:lang w:val="es-419"/>
              </w:rPr>
              <w:t>10</w:t>
            </w:r>
          </w:p>
        </w:tc>
        <w:tc>
          <w:tcPr>
            <w:tcW w:w="3023" w:type="dxa"/>
          </w:tcPr>
          <w:p w14:paraId="1467B68C" w14:textId="77777777" w:rsidR="00710C7F" w:rsidRPr="00EF48E5" w:rsidRDefault="00710C7F" w:rsidP="001B362D">
            <w:pPr>
              <w:rPr>
                <w:lang w:val="es-419"/>
              </w:rPr>
            </w:pPr>
            <w:r w:rsidRPr="00EF48E5">
              <w:rPr>
                <w:lang w:val="es-419"/>
              </w:rPr>
              <w:t>República Dominicana</w:t>
            </w:r>
          </w:p>
        </w:tc>
        <w:tc>
          <w:tcPr>
            <w:tcW w:w="5522" w:type="dxa"/>
          </w:tcPr>
          <w:p w14:paraId="69D2E1B0" w14:textId="3BCF5474" w:rsidR="00710C7F" w:rsidRPr="00EF48E5" w:rsidRDefault="00E6323A" w:rsidP="001B362D">
            <w:pPr>
              <w:rPr>
                <w:lang w:val="es-419"/>
              </w:rPr>
            </w:pPr>
            <w:r>
              <w:rPr>
                <w:lang w:val="es-419"/>
              </w:rPr>
              <w:t>U</w:t>
            </w:r>
            <w:r w:rsidR="00710C7F" w:rsidRPr="00EF48E5">
              <w:rPr>
                <w:lang w:val="es-419"/>
              </w:rPr>
              <w:t xml:space="preserve">niversidad </w:t>
            </w:r>
            <w:r w:rsidR="00BA436D">
              <w:rPr>
                <w:lang w:val="es-419"/>
              </w:rPr>
              <w:t>A</w:t>
            </w:r>
            <w:r w:rsidR="00BA436D" w:rsidRPr="00EF48E5">
              <w:rPr>
                <w:lang w:val="es-419"/>
              </w:rPr>
              <w:t>utónoma</w:t>
            </w:r>
            <w:r w:rsidR="00710C7F" w:rsidRPr="00EF48E5">
              <w:rPr>
                <w:lang w:val="es-419"/>
              </w:rPr>
              <w:t xml:space="preserve"> de </w:t>
            </w:r>
            <w:r>
              <w:rPr>
                <w:lang w:val="es-419"/>
              </w:rPr>
              <w:t>S</w:t>
            </w:r>
            <w:r w:rsidR="00710C7F" w:rsidRPr="00EF48E5">
              <w:rPr>
                <w:lang w:val="es-419"/>
              </w:rPr>
              <w:t xml:space="preserve">anto </w:t>
            </w:r>
            <w:r>
              <w:rPr>
                <w:lang w:val="es-419"/>
              </w:rPr>
              <w:t>D</w:t>
            </w:r>
            <w:r w:rsidR="00710C7F" w:rsidRPr="00EF48E5">
              <w:rPr>
                <w:lang w:val="es-419"/>
              </w:rPr>
              <w:t>omingo</w:t>
            </w:r>
          </w:p>
        </w:tc>
      </w:tr>
      <w:tr w:rsidR="00710C7F" w:rsidRPr="00EF48E5" w14:paraId="75E1A4D3" w14:textId="77777777" w:rsidTr="0068794A">
        <w:tc>
          <w:tcPr>
            <w:tcW w:w="805" w:type="dxa"/>
          </w:tcPr>
          <w:p w14:paraId="73C05D3C" w14:textId="77777777" w:rsidR="00710C7F" w:rsidRPr="00EF48E5" w:rsidRDefault="00710C7F" w:rsidP="001B362D">
            <w:pPr>
              <w:rPr>
                <w:lang w:val="es-419"/>
              </w:rPr>
            </w:pPr>
            <w:r w:rsidRPr="00EF48E5">
              <w:rPr>
                <w:lang w:val="es-419"/>
              </w:rPr>
              <w:t>11</w:t>
            </w:r>
          </w:p>
        </w:tc>
        <w:tc>
          <w:tcPr>
            <w:tcW w:w="3023" w:type="dxa"/>
          </w:tcPr>
          <w:p w14:paraId="35C5B312" w14:textId="77777777" w:rsidR="00710C7F" w:rsidRPr="00EF48E5" w:rsidRDefault="00710C7F" w:rsidP="001B362D">
            <w:pPr>
              <w:rPr>
                <w:lang w:val="es-419"/>
              </w:rPr>
            </w:pPr>
            <w:r w:rsidRPr="00EF48E5">
              <w:rPr>
                <w:lang w:val="es-419"/>
              </w:rPr>
              <w:t>República Dominicana</w:t>
            </w:r>
          </w:p>
        </w:tc>
        <w:tc>
          <w:tcPr>
            <w:tcW w:w="5522" w:type="dxa"/>
          </w:tcPr>
          <w:p w14:paraId="7C737F25" w14:textId="77777777" w:rsidR="00710C7F" w:rsidRPr="00EF48E5" w:rsidRDefault="00710C7F" w:rsidP="001B362D">
            <w:pPr>
              <w:rPr>
                <w:sz w:val="23"/>
                <w:szCs w:val="23"/>
                <w:lang w:val="es-419"/>
              </w:rPr>
            </w:pPr>
            <w:r w:rsidRPr="00EF48E5">
              <w:rPr>
                <w:lang w:val="es-419"/>
              </w:rPr>
              <w:t>Universidad Nacional Pedro Henríquez Ureña</w:t>
            </w:r>
          </w:p>
        </w:tc>
      </w:tr>
      <w:tr w:rsidR="00710C7F" w:rsidRPr="00EF48E5" w14:paraId="53F35AD4" w14:textId="77777777" w:rsidTr="0068794A">
        <w:tc>
          <w:tcPr>
            <w:tcW w:w="805" w:type="dxa"/>
          </w:tcPr>
          <w:p w14:paraId="6C7D328D" w14:textId="77777777" w:rsidR="00710C7F" w:rsidRPr="00EF48E5" w:rsidRDefault="00710C7F" w:rsidP="001B362D">
            <w:pPr>
              <w:rPr>
                <w:lang w:val="es-419"/>
              </w:rPr>
            </w:pPr>
            <w:r w:rsidRPr="00EF48E5">
              <w:rPr>
                <w:lang w:val="es-419"/>
              </w:rPr>
              <w:lastRenderedPageBreak/>
              <w:t>12</w:t>
            </w:r>
          </w:p>
        </w:tc>
        <w:tc>
          <w:tcPr>
            <w:tcW w:w="3023" w:type="dxa"/>
          </w:tcPr>
          <w:p w14:paraId="1A094DD3" w14:textId="77777777" w:rsidR="00710C7F" w:rsidRPr="00EF48E5" w:rsidRDefault="00710C7F" w:rsidP="001B362D">
            <w:pPr>
              <w:rPr>
                <w:lang w:val="es-419"/>
              </w:rPr>
            </w:pPr>
            <w:r w:rsidRPr="00EF48E5">
              <w:rPr>
                <w:lang w:val="es-419"/>
              </w:rPr>
              <w:t>Haití</w:t>
            </w:r>
          </w:p>
        </w:tc>
        <w:tc>
          <w:tcPr>
            <w:tcW w:w="5522" w:type="dxa"/>
          </w:tcPr>
          <w:p w14:paraId="71FB6234" w14:textId="4E57B40D" w:rsidR="00710C7F" w:rsidRPr="00EF48E5" w:rsidRDefault="00E6323A" w:rsidP="001B362D">
            <w:pPr>
              <w:rPr>
                <w:lang w:val="es-419"/>
              </w:rPr>
            </w:pPr>
            <w:r>
              <w:rPr>
                <w:lang w:val="es-419"/>
              </w:rPr>
              <w:t>U</w:t>
            </w:r>
            <w:r w:rsidR="00710C7F" w:rsidRPr="00EF48E5">
              <w:rPr>
                <w:lang w:val="es-419"/>
              </w:rPr>
              <w:t xml:space="preserve">niversidad Estado </w:t>
            </w:r>
            <w:proofErr w:type="spellStart"/>
            <w:r w:rsidR="00710C7F" w:rsidRPr="00EF48E5">
              <w:rPr>
                <w:lang w:val="es-419"/>
              </w:rPr>
              <w:t>d'Haití</w:t>
            </w:r>
            <w:proofErr w:type="spellEnd"/>
          </w:p>
        </w:tc>
      </w:tr>
      <w:tr w:rsidR="00710C7F" w:rsidRPr="00EF48E5" w14:paraId="013BDE26" w14:textId="77777777" w:rsidTr="0068794A">
        <w:tc>
          <w:tcPr>
            <w:tcW w:w="805" w:type="dxa"/>
          </w:tcPr>
          <w:p w14:paraId="39F04D42" w14:textId="77777777" w:rsidR="00710C7F" w:rsidRPr="00EF48E5" w:rsidRDefault="00710C7F" w:rsidP="001B362D">
            <w:pPr>
              <w:rPr>
                <w:lang w:val="es-419"/>
              </w:rPr>
            </w:pPr>
            <w:r w:rsidRPr="00EF48E5">
              <w:rPr>
                <w:lang w:val="es-419"/>
              </w:rPr>
              <w:t>13</w:t>
            </w:r>
          </w:p>
        </w:tc>
        <w:tc>
          <w:tcPr>
            <w:tcW w:w="3023" w:type="dxa"/>
          </w:tcPr>
          <w:p w14:paraId="52D0B970" w14:textId="77777777" w:rsidR="00710C7F" w:rsidRPr="00EF48E5" w:rsidRDefault="00710C7F" w:rsidP="001B362D">
            <w:pPr>
              <w:rPr>
                <w:lang w:val="es-419"/>
              </w:rPr>
            </w:pPr>
            <w:r w:rsidRPr="00EF48E5">
              <w:rPr>
                <w:lang w:val="es-419"/>
              </w:rPr>
              <w:t>Haití</w:t>
            </w:r>
          </w:p>
        </w:tc>
        <w:tc>
          <w:tcPr>
            <w:tcW w:w="5522" w:type="dxa"/>
          </w:tcPr>
          <w:p w14:paraId="2C66DD13" w14:textId="77777777" w:rsidR="00710C7F" w:rsidRPr="00EF48E5" w:rsidRDefault="00710C7F" w:rsidP="001B362D">
            <w:pPr>
              <w:rPr>
                <w:lang w:val="es-419"/>
              </w:rPr>
            </w:pPr>
            <w:r w:rsidRPr="00EF48E5">
              <w:rPr>
                <w:lang w:val="es-419"/>
              </w:rPr>
              <w:t xml:space="preserve">Universidad de Tecnología </w:t>
            </w:r>
            <w:proofErr w:type="spellStart"/>
            <w:r w:rsidRPr="00EF48E5">
              <w:rPr>
                <w:lang w:val="es-419"/>
              </w:rPr>
              <w:t>d'Haití</w:t>
            </w:r>
            <w:proofErr w:type="spellEnd"/>
          </w:p>
        </w:tc>
      </w:tr>
      <w:tr w:rsidR="00996085" w:rsidRPr="00EF48E5" w14:paraId="400ACFDB" w14:textId="77777777" w:rsidTr="0068794A">
        <w:tc>
          <w:tcPr>
            <w:tcW w:w="805" w:type="dxa"/>
          </w:tcPr>
          <w:p w14:paraId="0F4E43DA" w14:textId="74CC9317" w:rsidR="00996085" w:rsidRPr="00EF48E5" w:rsidRDefault="00996085" w:rsidP="001B362D">
            <w:pPr>
              <w:rPr>
                <w:lang w:val="es-419"/>
              </w:rPr>
            </w:pPr>
            <w:r w:rsidRPr="00EF48E5">
              <w:rPr>
                <w:lang w:val="es-419"/>
              </w:rPr>
              <w:t>14</w:t>
            </w:r>
          </w:p>
        </w:tc>
        <w:tc>
          <w:tcPr>
            <w:tcW w:w="3023" w:type="dxa"/>
          </w:tcPr>
          <w:p w14:paraId="488DAE2E" w14:textId="17175A7B" w:rsidR="00996085" w:rsidRPr="00EF48E5" w:rsidRDefault="00996085" w:rsidP="001B362D">
            <w:pPr>
              <w:rPr>
                <w:lang w:val="es-419"/>
              </w:rPr>
            </w:pPr>
            <w:r w:rsidRPr="00EF48E5">
              <w:rPr>
                <w:lang w:val="es-419"/>
              </w:rPr>
              <w:t>Haití</w:t>
            </w:r>
          </w:p>
        </w:tc>
        <w:tc>
          <w:tcPr>
            <w:tcW w:w="5522" w:type="dxa"/>
          </w:tcPr>
          <w:p w14:paraId="7E5FE616" w14:textId="2B26846F" w:rsidR="00996085" w:rsidRPr="00EF48E5" w:rsidRDefault="00996085" w:rsidP="001B362D">
            <w:pPr>
              <w:rPr>
                <w:lang w:val="es-419"/>
              </w:rPr>
            </w:pPr>
            <w:r w:rsidRPr="00EF48E5">
              <w:rPr>
                <w:lang w:val="es-419"/>
              </w:rPr>
              <w:t>Universidad Quisqueya</w:t>
            </w:r>
          </w:p>
        </w:tc>
      </w:tr>
      <w:tr w:rsidR="00710C7F" w:rsidRPr="00EF48E5" w14:paraId="32E4A439" w14:textId="77777777" w:rsidTr="0068794A">
        <w:tc>
          <w:tcPr>
            <w:tcW w:w="805" w:type="dxa"/>
          </w:tcPr>
          <w:p w14:paraId="70C60CC7" w14:textId="29A57FDA" w:rsidR="00710C7F" w:rsidRPr="00EF48E5" w:rsidRDefault="00710C7F" w:rsidP="001B362D">
            <w:pPr>
              <w:rPr>
                <w:lang w:val="es-419"/>
              </w:rPr>
            </w:pPr>
            <w:r w:rsidRPr="00EF48E5">
              <w:rPr>
                <w:lang w:val="es-419"/>
              </w:rPr>
              <w:t>15</w:t>
            </w:r>
          </w:p>
        </w:tc>
        <w:tc>
          <w:tcPr>
            <w:tcW w:w="3023" w:type="dxa"/>
          </w:tcPr>
          <w:p w14:paraId="78E5183D" w14:textId="77777777" w:rsidR="00710C7F" w:rsidRPr="00EF48E5" w:rsidRDefault="00710C7F" w:rsidP="001B362D">
            <w:pPr>
              <w:rPr>
                <w:lang w:val="es-419"/>
              </w:rPr>
            </w:pPr>
            <w:r w:rsidRPr="00EF48E5">
              <w:rPr>
                <w:lang w:val="es-419"/>
              </w:rPr>
              <w:t>Jamaica</w:t>
            </w:r>
          </w:p>
        </w:tc>
        <w:tc>
          <w:tcPr>
            <w:tcW w:w="5522" w:type="dxa"/>
          </w:tcPr>
          <w:p w14:paraId="07DFE1C3" w14:textId="77777777" w:rsidR="00710C7F" w:rsidRPr="00EF48E5" w:rsidRDefault="00710C7F" w:rsidP="001B362D">
            <w:pPr>
              <w:rPr>
                <w:lang w:val="es-419"/>
              </w:rPr>
            </w:pPr>
            <w:r w:rsidRPr="00EF48E5">
              <w:rPr>
                <w:lang w:val="es-419"/>
              </w:rPr>
              <w:t>Museo de Historia Natural de Jamaica</w:t>
            </w:r>
          </w:p>
        </w:tc>
      </w:tr>
      <w:tr w:rsidR="00710C7F" w:rsidRPr="00EF48E5" w14:paraId="5508EBBC" w14:textId="77777777" w:rsidTr="0068794A">
        <w:tc>
          <w:tcPr>
            <w:tcW w:w="805" w:type="dxa"/>
          </w:tcPr>
          <w:p w14:paraId="087CE2E5" w14:textId="4B0F3791" w:rsidR="00710C7F" w:rsidRPr="00EF48E5" w:rsidRDefault="00E6323A" w:rsidP="001B362D">
            <w:pPr>
              <w:rPr>
                <w:lang w:val="es-419"/>
              </w:rPr>
            </w:pPr>
            <w:r>
              <w:rPr>
                <w:lang w:val="es-419"/>
              </w:rPr>
              <w:t>16</w:t>
            </w:r>
          </w:p>
        </w:tc>
        <w:tc>
          <w:tcPr>
            <w:tcW w:w="3023" w:type="dxa"/>
          </w:tcPr>
          <w:p w14:paraId="3A1929E8" w14:textId="77777777" w:rsidR="00710C7F" w:rsidRPr="00EF48E5" w:rsidRDefault="00710C7F" w:rsidP="001B362D">
            <w:pPr>
              <w:rPr>
                <w:lang w:val="es-419"/>
              </w:rPr>
            </w:pPr>
            <w:r w:rsidRPr="00EF48E5">
              <w:rPr>
                <w:lang w:val="es-419"/>
              </w:rPr>
              <w:t>Jamaica</w:t>
            </w:r>
          </w:p>
        </w:tc>
        <w:tc>
          <w:tcPr>
            <w:tcW w:w="5522" w:type="dxa"/>
          </w:tcPr>
          <w:p w14:paraId="72698464" w14:textId="77777777" w:rsidR="00710C7F" w:rsidRPr="00EF48E5" w:rsidRDefault="00710C7F" w:rsidP="001B362D">
            <w:pPr>
              <w:rPr>
                <w:lang w:val="es-419"/>
              </w:rPr>
            </w:pPr>
            <w:r w:rsidRPr="00EF48E5">
              <w:rPr>
                <w:lang w:val="es-419"/>
              </w:rPr>
              <w:t>Universidad de las Indias Occidentales, Instituto para el Desarrollo Sostenible</w:t>
            </w:r>
          </w:p>
        </w:tc>
      </w:tr>
      <w:tr w:rsidR="00710C7F" w:rsidRPr="00EF48E5" w14:paraId="157DDE52" w14:textId="77777777" w:rsidTr="0068794A">
        <w:tc>
          <w:tcPr>
            <w:tcW w:w="805" w:type="dxa"/>
          </w:tcPr>
          <w:p w14:paraId="52486B6E" w14:textId="4D2684E4" w:rsidR="00710C7F" w:rsidRPr="00EF48E5" w:rsidRDefault="00710C7F" w:rsidP="001B362D">
            <w:pPr>
              <w:rPr>
                <w:lang w:val="es-419"/>
              </w:rPr>
            </w:pPr>
            <w:r w:rsidRPr="00EF48E5">
              <w:rPr>
                <w:lang w:val="es-419"/>
              </w:rPr>
              <w:t>17</w:t>
            </w:r>
          </w:p>
        </w:tc>
        <w:tc>
          <w:tcPr>
            <w:tcW w:w="3023" w:type="dxa"/>
          </w:tcPr>
          <w:p w14:paraId="3F4E3686" w14:textId="77777777" w:rsidR="00710C7F" w:rsidRPr="00EF48E5" w:rsidRDefault="00710C7F" w:rsidP="001B362D">
            <w:pPr>
              <w:rPr>
                <w:lang w:val="es-419"/>
              </w:rPr>
            </w:pPr>
            <w:r w:rsidRPr="00EF48E5">
              <w:rPr>
                <w:lang w:val="es-419"/>
              </w:rPr>
              <w:t>Jamaica</w:t>
            </w:r>
          </w:p>
        </w:tc>
        <w:tc>
          <w:tcPr>
            <w:tcW w:w="5522" w:type="dxa"/>
          </w:tcPr>
          <w:p w14:paraId="368E8B2C" w14:textId="77777777" w:rsidR="00710C7F" w:rsidRPr="00EF48E5" w:rsidRDefault="00710C7F" w:rsidP="001B362D">
            <w:pPr>
              <w:rPr>
                <w:lang w:val="es-419"/>
              </w:rPr>
            </w:pPr>
            <w:r w:rsidRPr="00EF48E5">
              <w:rPr>
                <w:lang w:val="es-419"/>
              </w:rPr>
              <w:t>Universidad de las Indias Occidentales, campus de Mona</w:t>
            </w:r>
          </w:p>
        </w:tc>
      </w:tr>
      <w:tr w:rsidR="00710C7F" w:rsidRPr="00EF48E5" w14:paraId="3EBB03D1" w14:textId="77777777" w:rsidTr="0068794A">
        <w:tc>
          <w:tcPr>
            <w:tcW w:w="805" w:type="dxa"/>
          </w:tcPr>
          <w:p w14:paraId="18C6A045" w14:textId="77F42237" w:rsidR="00710C7F" w:rsidRPr="00EF48E5" w:rsidRDefault="00710C7F" w:rsidP="001B362D">
            <w:pPr>
              <w:rPr>
                <w:lang w:val="es-419"/>
              </w:rPr>
            </w:pPr>
            <w:r w:rsidRPr="00EF48E5">
              <w:rPr>
                <w:lang w:val="es-419"/>
              </w:rPr>
              <w:t>18</w:t>
            </w:r>
          </w:p>
        </w:tc>
        <w:tc>
          <w:tcPr>
            <w:tcW w:w="3023" w:type="dxa"/>
          </w:tcPr>
          <w:p w14:paraId="16FF3E8D" w14:textId="77777777" w:rsidR="00710C7F" w:rsidRPr="00EF48E5" w:rsidRDefault="00710C7F" w:rsidP="001B362D">
            <w:pPr>
              <w:rPr>
                <w:lang w:val="es-419"/>
              </w:rPr>
            </w:pPr>
            <w:r w:rsidRPr="00EF48E5">
              <w:rPr>
                <w:lang w:val="es-419"/>
              </w:rPr>
              <w:t>Jamaica</w:t>
            </w:r>
          </w:p>
        </w:tc>
        <w:tc>
          <w:tcPr>
            <w:tcW w:w="5522" w:type="dxa"/>
          </w:tcPr>
          <w:p w14:paraId="590F65A3" w14:textId="77777777" w:rsidR="00710C7F" w:rsidRPr="00EF48E5" w:rsidRDefault="00710C7F" w:rsidP="001B362D">
            <w:pPr>
              <w:rPr>
                <w:lang w:val="es-419"/>
              </w:rPr>
            </w:pPr>
            <w:r w:rsidRPr="00EF48E5">
              <w:rPr>
                <w:lang w:val="es-419"/>
              </w:rPr>
              <w:t>Centro de investigación de Windsor</w:t>
            </w:r>
          </w:p>
        </w:tc>
      </w:tr>
      <w:tr w:rsidR="00710C7F" w:rsidRPr="00EF48E5" w14:paraId="7A2A890E" w14:textId="77777777" w:rsidTr="0068794A">
        <w:tc>
          <w:tcPr>
            <w:tcW w:w="805" w:type="dxa"/>
          </w:tcPr>
          <w:p w14:paraId="278E4E75" w14:textId="63748D0F" w:rsidR="00710C7F" w:rsidRPr="00EF48E5" w:rsidRDefault="00710C7F" w:rsidP="001B362D">
            <w:pPr>
              <w:rPr>
                <w:lang w:val="es-419"/>
              </w:rPr>
            </w:pPr>
            <w:r w:rsidRPr="00EF48E5">
              <w:rPr>
                <w:lang w:val="es-419"/>
              </w:rPr>
              <w:t>19</w:t>
            </w:r>
          </w:p>
        </w:tc>
        <w:tc>
          <w:tcPr>
            <w:tcW w:w="3023" w:type="dxa"/>
          </w:tcPr>
          <w:p w14:paraId="196496B4" w14:textId="77777777" w:rsidR="00710C7F" w:rsidRPr="00EF48E5" w:rsidRDefault="00710C7F" w:rsidP="001B362D">
            <w:pPr>
              <w:rPr>
                <w:lang w:val="es-419"/>
              </w:rPr>
            </w:pPr>
            <w:r w:rsidRPr="00EF48E5">
              <w:rPr>
                <w:lang w:val="es-419"/>
              </w:rPr>
              <w:t>Santa Lucía</w:t>
            </w:r>
          </w:p>
        </w:tc>
        <w:tc>
          <w:tcPr>
            <w:tcW w:w="5522" w:type="dxa"/>
          </w:tcPr>
          <w:p w14:paraId="42F633B5" w14:textId="77777777" w:rsidR="00710C7F" w:rsidRPr="00EF48E5" w:rsidRDefault="00710C7F" w:rsidP="001B362D">
            <w:pPr>
              <w:rPr>
                <w:lang w:val="es-419"/>
              </w:rPr>
            </w:pPr>
            <w:r w:rsidRPr="00EF48E5">
              <w:rPr>
                <w:lang w:val="es-419"/>
              </w:rPr>
              <w:t>Colegio Comunitario Sir Arthur Lewis</w:t>
            </w:r>
          </w:p>
        </w:tc>
      </w:tr>
      <w:tr w:rsidR="00710C7F" w:rsidRPr="00EF48E5" w14:paraId="7109ED60" w14:textId="77777777" w:rsidTr="0068794A">
        <w:tc>
          <w:tcPr>
            <w:tcW w:w="805" w:type="dxa"/>
          </w:tcPr>
          <w:p w14:paraId="4CD8EA47" w14:textId="7AFF3279" w:rsidR="00710C7F" w:rsidRPr="00EF48E5" w:rsidRDefault="00F81021" w:rsidP="001B362D">
            <w:pPr>
              <w:rPr>
                <w:lang w:val="es-419"/>
              </w:rPr>
            </w:pPr>
            <w:r w:rsidRPr="00EF48E5">
              <w:rPr>
                <w:lang w:val="es-419"/>
              </w:rPr>
              <w:t>20</w:t>
            </w:r>
          </w:p>
        </w:tc>
        <w:tc>
          <w:tcPr>
            <w:tcW w:w="3023" w:type="dxa"/>
          </w:tcPr>
          <w:p w14:paraId="38A079F0" w14:textId="69A431F2" w:rsidR="00710C7F" w:rsidRPr="00EF48E5" w:rsidRDefault="00710C7F" w:rsidP="001B362D">
            <w:pPr>
              <w:rPr>
                <w:lang w:val="es-419"/>
              </w:rPr>
            </w:pPr>
            <w:r w:rsidRPr="00EF48E5">
              <w:rPr>
                <w:lang w:val="es-419"/>
              </w:rPr>
              <w:t xml:space="preserve">San Vicente y las </w:t>
            </w:r>
            <w:proofErr w:type="gramStart"/>
            <w:r w:rsidRPr="00EF48E5">
              <w:rPr>
                <w:lang w:val="es-419"/>
              </w:rPr>
              <w:t>Granadinas</w:t>
            </w:r>
            <w:proofErr w:type="gramEnd"/>
          </w:p>
        </w:tc>
        <w:tc>
          <w:tcPr>
            <w:tcW w:w="5522" w:type="dxa"/>
          </w:tcPr>
          <w:p w14:paraId="7F72C559" w14:textId="77777777" w:rsidR="00710C7F" w:rsidRPr="00EF48E5" w:rsidRDefault="00710C7F" w:rsidP="001B362D">
            <w:pPr>
              <w:rPr>
                <w:lang w:val="es-419"/>
              </w:rPr>
            </w:pPr>
            <w:r w:rsidRPr="00EF48E5">
              <w:rPr>
                <w:lang w:val="es-419"/>
              </w:rPr>
              <w:t>Academia Richmond Vale</w:t>
            </w:r>
          </w:p>
        </w:tc>
      </w:tr>
    </w:tbl>
    <w:p w14:paraId="33DDAFB4" w14:textId="77777777" w:rsidR="00E6323A" w:rsidRDefault="00E6323A" w:rsidP="00710C7F">
      <w:pPr>
        <w:spacing w:before="160"/>
        <w:rPr>
          <w:b/>
          <w:bCs/>
          <w:lang w:val="es-419"/>
        </w:rPr>
      </w:pPr>
    </w:p>
    <w:p w14:paraId="24E47A6E" w14:textId="15A346BE" w:rsidR="00710C7F" w:rsidRPr="00EF48E5" w:rsidRDefault="00D27815" w:rsidP="00710C7F">
      <w:pPr>
        <w:spacing w:before="160"/>
        <w:rPr>
          <w:b/>
          <w:bCs/>
          <w:lang w:val="es-419"/>
        </w:rPr>
      </w:pPr>
      <w:r w:rsidRPr="00EF48E5">
        <w:rPr>
          <w:b/>
          <w:bCs/>
          <w:lang w:val="es-419"/>
        </w:rPr>
        <w:t xml:space="preserve">Organizaciones </w:t>
      </w:r>
      <w:r w:rsidR="00710C7F" w:rsidRPr="00EF48E5">
        <w:rPr>
          <w:b/>
          <w:bCs/>
          <w:lang w:val="es-419"/>
        </w:rPr>
        <w:t>comunitarias</w:t>
      </w:r>
    </w:p>
    <w:p w14:paraId="6C399FDB" w14:textId="6276DE2B" w:rsidR="00710C7F" w:rsidRPr="00EF48E5" w:rsidRDefault="00710C7F" w:rsidP="00710C7F">
      <w:pPr>
        <w:jc w:val="both"/>
        <w:rPr>
          <w:lang w:val="es-419"/>
        </w:rPr>
      </w:pPr>
      <w:r w:rsidRPr="00EF48E5">
        <w:rPr>
          <w:lang w:val="es-419"/>
        </w:rPr>
        <w:t>Las organizaciones de base comunitaria (OBC) han venido desempeñando un papel cada vez más importante en la conservación de la biodiversidad en el Caribe, junto con las organizaciones de productores y las cooperativas. Estos grupos pueden organizarse en torno a una actividad empresarial o productiva, como la agricultura o la pesca, que puede beneficiar directa o indirectamente la conservación (por ejemplo, la agricultura sostenible en una zona de amortiguamiento de KBA o el ecoturismo en un área protegida). El alcance de estas organizaciones generalmente tiene un enfoque más limitado que el de sus contrapartes de ONG locales y su capacidad para planificar, implementar y evaluar proyectos de conservación tiende a ser menor. Sin embargo, son un componente esencial de los esfuerzos para implementar iniciativas de conservación y manejo de recursos socioculturalmente relevantes y sostenibles. El perfil del ecosistema identificó 54 organizaciones comunitarias centradas en el medio ambiente y 51 organizaciones de productores en los países del proyecto, con el mayor número en Jamaica y Santa Lucía.</w:t>
      </w:r>
    </w:p>
    <w:p w14:paraId="79B682DA" w14:textId="3CB07D3D" w:rsidR="00710C7F" w:rsidRPr="00EF48E5" w:rsidRDefault="00710C7F" w:rsidP="00710C7F">
      <w:pPr>
        <w:jc w:val="both"/>
        <w:rPr>
          <w:lang w:val="es-419"/>
        </w:rPr>
      </w:pPr>
      <w:r w:rsidRPr="00EF48E5">
        <w:rPr>
          <w:lang w:val="es-419"/>
        </w:rPr>
        <w:t xml:space="preserve">Un área en la que las OBC y las organizaciones de productores están activas es la cogestión pesquera, donde los grupos de usuarios de recursos y las organizaciones de pescadores se han involucrado en la gobernanza y gestión de los recursos pesqueros con la ayuda de organizaciones intermediarias, incluida CANARI. Las </w:t>
      </w:r>
      <w:r w:rsidR="00FC2AA9">
        <w:rPr>
          <w:lang w:val="es-419"/>
        </w:rPr>
        <w:t>OBC</w:t>
      </w:r>
      <w:r w:rsidRPr="00EF48E5">
        <w:rPr>
          <w:lang w:val="es-419"/>
        </w:rPr>
        <w:t xml:space="preserve"> también se han involucrado en la gestión de áreas terrestres. Por ejemplo, desde el año 2000, el Departamento Forestal de Jamaica ha estado estableciendo Comités Locales de Gestión Forestal para permitir que las comunidades locales participen en la planificación, gestión, protección y uso sostenible de los bosques locales. En República Dominicana, se han establecido tres OBC en la Reserva de la Biosfera Jaragua-Bahoruco-Enriquillo, una de las cuales promueve el ecoturismo y el uso sostenible de los recursos naturales entre las comunidades aledañas. Se proporciona una lista indicativa de organizaciones comunitarias en los países del proyecto para dar un ejemplo de los tipos de organizaciones que podrían beneficiarse del proyecto.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3023"/>
        <w:gridCol w:w="5522"/>
      </w:tblGrid>
      <w:tr w:rsidR="00710C7F" w:rsidRPr="00EF48E5" w14:paraId="743B8F98" w14:textId="77777777" w:rsidTr="0068794A">
        <w:tc>
          <w:tcPr>
            <w:tcW w:w="805" w:type="dxa"/>
          </w:tcPr>
          <w:p w14:paraId="69C6CD6B" w14:textId="77777777" w:rsidR="00710C7F" w:rsidRPr="00EF48E5" w:rsidRDefault="00710C7F" w:rsidP="001B362D">
            <w:pPr>
              <w:rPr>
                <w:b/>
                <w:bCs/>
                <w:lang w:val="es-419"/>
              </w:rPr>
            </w:pPr>
            <w:r w:rsidRPr="00EF48E5">
              <w:rPr>
                <w:b/>
                <w:bCs/>
                <w:lang w:val="es-419"/>
              </w:rPr>
              <w:t>#</w:t>
            </w:r>
          </w:p>
        </w:tc>
        <w:tc>
          <w:tcPr>
            <w:tcW w:w="3023" w:type="dxa"/>
          </w:tcPr>
          <w:p w14:paraId="0AC37530" w14:textId="77777777" w:rsidR="00710C7F" w:rsidRPr="00EF48E5" w:rsidRDefault="00710C7F" w:rsidP="001B362D">
            <w:pPr>
              <w:rPr>
                <w:b/>
                <w:bCs/>
                <w:lang w:val="es-419"/>
              </w:rPr>
            </w:pPr>
            <w:r w:rsidRPr="00EF48E5">
              <w:rPr>
                <w:b/>
                <w:bCs/>
                <w:lang w:val="es-419"/>
              </w:rPr>
              <w:t>País</w:t>
            </w:r>
          </w:p>
        </w:tc>
        <w:tc>
          <w:tcPr>
            <w:tcW w:w="5522" w:type="dxa"/>
          </w:tcPr>
          <w:p w14:paraId="07737AD2" w14:textId="77777777" w:rsidR="00710C7F" w:rsidRPr="00EF48E5" w:rsidRDefault="00710C7F" w:rsidP="001B362D">
            <w:pPr>
              <w:rPr>
                <w:b/>
                <w:bCs/>
                <w:lang w:val="es-419"/>
              </w:rPr>
            </w:pPr>
            <w:r w:rsidRPr="00EF48E5">
              <w:rPr>
                <w:b/>
                <w:bCs/>
                <w:lang w:val="es-419"/>
              </w:rPr>
              <w:t>Nombre de la Organización</w:t>
            </w:r>
          </w:p>
        </w:tc>
      </w:tr>
      <w:tr w:rsidR="00710C7F" w:rsidRPr="00EF48E5" w14:paraId="1888118A" w14:textId="77777777" w:rsidTr="0068794A">
        <w:tc>
          <w:tcPr>
            <w:tcW w:w="805" w:type="dxa"/>
          </w:tcPr>
          <w:p w14:paraId="2C00BB19" w14:textId="77777777" w:rsidR="00710C7F" w:rsidRPr="00EF48E5" w:rsidRDefault="00710C7F" w:rsidP="001B362D">
            <w:pPr>
              <w:rPr>
                <w:lang w:val="es-419"/>
              </w:rPr>
            </w:pPr>
            <w:r w:rsidRPr="00EF48E5">
              <w:rPr>
                <w:lang w:val="es-419"/>
              </w:rPr>
              <w:t>1</w:t>
            </w:r>
          </w:p>
        </w:tc>
        <w:tc>
          <w:tcPr>
            <w:tcW w:w="3023" w:type="dxa"/>
          </w:tcPr>
          <w:p w14:paraId="331671BE" w14:textId="77777777" w:rsidR="00710C7F" w:rsidRPr="00EF48E5" w:rsidRDefault="00710C7F" w:rsidP="001B362D">
            <w:pPr>
              <w:rPr>
                <w:lang w:val="es-419"/>
              </w:rPr>
            </w:pPr>
            <w:r w:rsidRPr="00EF48E5">
              <w:rPr>
                <w:lang w:val="es-419"/>
              </w:rPr>
              <w:t>República Dominicana</w:t>
            </w:r>
          </w:p>
        </w:tc>
        <w:tc>
          <w:tcPr>
            <w:tcW w:w="5522" w:type="dxa"/>
          </w:tcPr>
          <w:p w14:paraId="7F1660AF" w14:textId="77777777" w:rsidR="00710C7F" w:rsidRPr="00EF48E5" w:rsidRDefault="00710C7F" w:rsidP="001B362D">
            <w:pPr>
              <w:rPr>
                <w:lang w:val="es-419"/>
              </w:rPr>
            </w:pPr>
            <w:r w:rsidRPr="00EF48E5">
              <w:rPr>
                <w:lang w:val="es-419"/>
              </w:rPr>
              <w:t>Vivero Comunitario de Dajabón</w:t>
            </w:r>
          </w:p>
        </w:tc>
      </w:tr>
      <w:tr w:rsidR="00710C7F" w:rsidRPr="00EF48E5" w14:paraId="586030C6" w14:textId="77777777" w:rsidTr="0068794A">
        <w:tc>
          <w:tcPr>
            <w:tcW w:w="805" w:type="dxa"/>
          </w:tcPr>
          <w:p w14:paraId="37158744" w14:textId="77777777" w:rsidR="00710C7F" w:rsidRPr="00EF48E5" w:rsidRDefault="00710C7F" w:rsidP="001B362D">
            <w:pPr>
              <w:rPr>
                <w:lang w:val="es-419"/>
              </w:rPr>
            </w:pPr>
            <w:r w:rsidRPr="00EF48E5">
              <w:rPr>
                <w:lang w:val="es-419"/>
              </w:rPr>
              <w:t>2</w:t>
            </w:r>
          </w:p>
        </w:tc>
        <w:tc>
          <w:tcPr>
            <w:tcW w:w="3023" w:type="dxa"/>
          </w:tcPr>
          <w:p w14:paraId="4FF31504" w14:textId="77777777" w:rsidR="00710C7F" w:rsidRPr="00EF48E5" w:rsidRDefault="00710C7F" w:rsidP="001B362D">
            <w:pPr>
              <w:rPr>
                <w:lang w:val="es-419"/>
              </w:rPr>
            </w:pPr>
            <w:r w:rsidRPr="00EF48E5">
              <w:rPr>
                <w:lang w:val="es-419"/>
              </w:rPr>
              <w:t>Haití</w:t>
            </w:r>
          </w:p>
        </w:tc>
        <w:tc>
          <w:tcPr>
            <w:tcW w:w="5522" w:type="dxa"/>
          </w:tcPr>
          <w:p w14:paraId="3B7A2813" w14:textId="77777777" w:rsidR="00710C7F" w:rsidRPr="00EF48E5" w:rsidRDefault="00710C7F" w:rsidP="001B362D">
            <w:pPr>
              <w:rPr>
                <w:lang w:val="es-419"/>
              </w:rPr>
            </w:pPr>
            <w:proofErr w:type="spellStart"/>
            <w:r w:rsidRPr="00EF48E5">
              <w:rPr>
                <w:lang w:val="es-419"/>
              </w:rPr>
              <w:t>Organisation</w:t>
            </w:r>
            <w:proofErr w:type="spellEnd"/>
            <w:r w:rsidRPr="00EF48E5">
              <w:rPr>
                <w:lang w:val="es-419"/>
              </w:rPr>
              <w:t xml:space="preserve"> des </w:t>
            </w:r>
            <w:proofErr w:type="spellStart"/>
            <w:r w:rsidRPr="00EF48E5">
              <w:rPr>
                <w:lang w:val="es-419"/>
              </w:rPr>
              <w:t>Groupements</w:t>
            </w:r>
            <w:proofErr w:type="spellEnd"/>
            <w:r w:rsidRPr="00EF48E5">
              <w:rPr>
                <w:lang w:val="es-419"/>
              </w:rPr>
              <w:t xml:space="preserve"> </w:t>
            </w:r>
            <w:proofErr w:type="spellStart"/>
            <w:r w:rsidRPr="00EF48E5">
              <w:rPr>
                <w:lang w:val="es-419"/>
              </w:rPr>
              <w:t>pour</w:t>
            </w:r>
            <w:proofErr w:type="spellEnd"/>
            <w:r w:rsidRPr="00EF48E5">
              <w:rPr>
                <w:lang w:val="es-419"/>
              </w:rPr>
              <w:t xml:space="preserve"> </w:t>
            </w:r>
            <w:proofErr w:type="spellStart"/>
            <w:r w:rsidRPr="00EF48E5">
              <w:rPr>
                <w:lang w:val="es-419"/>
              </w:rPr>
              <w:t>l'Avenir</w:t>
            </w:r>
            <w:proofErr w:type="spellEnd"/>
            <w:r w:rsidRPr="00EF48E5">
              <w:rPr>
                <w:lang w:val="es-419"/>
              </w:rPr>
              <w:t xml:space="preserve"> de </w:t>
            </w:r>
            <w:proofErr w:type="spellStart"/>
            <w:r w:rsidRPr="00EF48E5">
              <w:rPr>
                <w:lang w:val="es-419"/>
              </w:rPr>
              <w:t>Rossignol</w:t>
            </w:r>
            <w:proofErr w:type="spellEnd"/>
          </w:p>
        </w:tc>
      </w:tr>
      <w:tr w:rsidR="00710C7F" w:rsidRPr="00EF48E5" w14:paraId="13B6D1BE" w14:textId="77777777" w:rsidTr="0068794A">
        <w:tc>
          <w:tcPr>
            <w:tcW w:w="805" w:type="dxa"/>
          </w:tcPr>
          <w:p w14:paraId="7D3C0DE4" w14:textId="77777777" w:rsidR="00710C7F" w:rsidRPr="00EF48E5" w:rsidRDefault="00710C7F" w:rsidP="001B362D">
            <w:pPr>
              <w:rPr>
                <w:lang w:val="es-419"/>
              </w:rPr>
            </w:pPr>
            <w:r w:rsidRPr="00EF48E5">
              <w:rPr>
                <w:lang w:val="es-419"/>
              </w:rPr>
              <w:t>3</w:t>
            </w:r>
          </w:p>
        </w:tc>
        <w:tc>
          <w:tcPr>
            <w:tcW w:w="3023" w:type="dxa"/>
          </w:tcPr>
          <w:p w14:paraId="03EDEE99" w14:textId="77777777" w:rsidR="00710C7F" w:rsidRPr="00EF48E5" w:rsidRDefault="00710C7F" w:rsidP="001B362D">
            <w:pPr>
              <w:rPr>
                <w:lang w:val="es-419"/>
              </w:rPr>
            </w:pPr>
            <w:r w:rsidRPr="00EF48E5">
              <w:rPr>
                <w:lang w:val="es-419"/>
              </w:rPr>
              <w:t>Haití</w:t>
            </w:r>
          </w:p>
        </w:tc>
        <w:tc>
          <w:tcPr>
            <w:tcW w:w="5522" w:type="dxa"/>
          </w:tcPr>
          <w:p w14:paraId="59E72658" w14:textId="77777777" w:rsidR="00710C7F" w:rsidRPr="00EF48E5" w:rsidRDefault="00710C7F" w:rsidP="001B362D">
            <w:pPr>
              <w:rPr>
                <w:lang w:val="es-419"/>
              </w:rPr>
            </w:pPr>
            <w:proofErr w:type="spellStart"/>
            <w:r w:rsidRPr="00EF48E5">
              <w:rPr>
                <w:lang w:val="es-419"/>
              </w:rPr>
              <w:t>Organisation</w:t>
            </w:r>
            <w:proofErr w:type="spellEnd"/>
            <w:r w:rsidRPr="00EF48E5">
              <w:rPr>
                <w:lang w:val="es-419"/>
              </w:rPr>
              <w:t xml:space="preserve"> des </w:t>
            </w:r>
            <w:proofErr w:type="spellStart"/>
            <w:r w:rsidRPr="00EF48E5">
              <w:rPr>
                <w:lang w:val="es-419"/>
              </w:rPr>
              <w:t>Paysans</w:t>
            </w:r>
            <w:proofErr w:type="spellEnd"/>
            <w:r w:rsidRPr="00EF48E5">
              <w:rPr>
                <w:lang w:val="es-419"/>
              </w:rPr>
              <w:t xml:space="preserve"> </w:t>
            </w:r>
            <w:proofErr w:type="spellStart"/>
            <w:r w:rsidRPr="00EF48E5">
              <w:rPr>
                <w:lang w:val="es-419"/>
              </w:rPr>
              <w:t>pour</w:t>
            </w:r>
            <w:proofErr w:type="spellEnd"/>
            <w:r w:rsidRPr="00EF48E5">
              <w:rPr>
                <w:lang w:val="es-419"/>
              </w:rPr>
              <w:t xml:space="preserve"> le </w:t>
            </w:r>
            <w:proofErr w:type="spellStart"/>
            <w:r w:rsidRPr="00EF48E5">
              <w:rPr>
                <w:lang w:val="es-419"/>
              </w:rPr>
              <w:t>Développement</w:t>
            </w:r>
            <w:proofErr w:type="spellEnd"/>
            <w:r w:rsidRPr="00EF48E5">
              <w:rPr>
                <w:lang w:val="es-419"/>
              </w:rPr>
              <w:t xml:space="preserve"> de </w:t>
            </w:r>
            <w:proofErr w:type="spellStart"/>
            <w:r w:rsidRPr="00EF48E5">
              <w:rPr>
                <w:lang w:val="es-419"/>
              </w:rPr>
              <w:t>l'Unité</w:t>
            </w:r>
            <w:proofErr w:type="spellEnd"/>
            <w:r w:rsidRPr="00EF48E5">
              <w:rPr>
                <w:lang w:val="es-419"/>
              </w:rPr>
              <w:t xml:space="preserve"> II de la </w:t>
            </w:r>
            <w:proofErr w:type="spellStart"/>
            <w:r w:rsidRPr="00EF48E5">
              <w:rPr>
                <w:lang w:val="es-419"/>
              </w:rPr>
              <w:t>Forêt</w:t>
            </w:r>
            <w:proofErr w:type="spellEnd"/>
            <w:r w:rsidRPr="00EF48E5">
              <w:rPr>
                <w:lang w:val="es-419"/>
              </w:rPr>
              <w:t xml:space="preserve"> des </w:t>
            </w:r>
            <w:proofErr w:type="spellStart"/>
            <w:r w:rsidRPr="00EF48E5">
              <w:rPr>
                <w:lang w:val="es-419"/>
              </w:rPr>
              <w:t>Pins</w:t>
            </w:r>
            <w:proofErr w:type="spellEnd"/>
            <w:r w:rsidRPr="00EF48E5">
              <w:rPr>
                <w:lang w:val="es-419"/>
              </w:rPr>
              <w:t>, Mare Rouge</w:t>
            </w:r>
          </w:p>
        </w:tc>
      </w:tr>
      <w:tr w:rsidR="00710C7F" w:rsidRPr="00EF48E5" w14:paraId="79EAA2E1" w14:textId="77777777" w:rsidTr="0068794A">
        <w:tc>
          <w:tcPr>
            <w:tcW w:w="805" w:type="dxa"/>
          </w:tcPr>
          <w:p w14:paraId="67991C58" w14:textId="77777777" w:rsidR="00710C7F" w:rsidRPr="00EF48E5" w:rsidRDefault="00710C7F" w:rsidP="001B362D">
            <w:pPr>
              <w:rPr>
                <w:lang w:val="es-419"/>
              </w:rPr>
            </w:pPr>
            <w:r w:rsidRPr="00EF48E5">
              <w:rPr>
                <w:lang w:val="es-419"/>
              </w:rPr>
              <w:t>4</w:t>
            </w:r>
          </w:p>
        </w:tc>
        <w:tc>
          <w:tcPr>
            <w:tcW w:w="3023" w:type="dxa"/>
          </w:tcPr>
          <w:p w14:paraId="77E15041" w14:textId="77777777" w:rsidR="00710C7F" w:rsidRPr="00EF48E5" w:rsidRDefault="00710C7F" w:rsidP="001B362D">
            <w:pPr>
              <w:rPr>
                <w:lang w:val="es-419"/>
              </w:rPr>
            </w:pPr>
            <w:r w:rsidRPr="00EF48E5">
              <w:rPr>
                <w:lang w:val="es-419"/>
              </w:rPr>
              <w:t>Jamaica</w:t>
            </w:r>
          </w:p>
        </w:tc>
        <w:tc>
          <w:tcPr>
            <w:tcW w:w="5522" w:type="dxa"/>
          </w:tcPr>
          <w:p w14:paraId="19D0CA39" w14:textId="77777777" w:rsidR="00710C7F" w:rsidRPr="00EF48E5" w:rsidRDefault="00710C7F" w:rsidP="001B362D">
            <w:pPr>
              <w:rPr>
                <w:lang w:val="es-419"/>
              </w:rPr>
            </w:pPr>
            <w:r w:rsidRPr="00EF48E5">
              <w:rPr>
                <w:lang w:val="es-419"/>
              </w:rPr>
              <w:t>Sociedad Benéfica del Comité de Desarrollo de la Parroquia de Clarendon</w:t>
            </w:r>
          </w:p>
        </w:tc>
      </w:tr>
      <w:tr w:rsidR="00710C7F" w:rsidRPr="00EF48E5" w14:paraId="5FDF1B22" w14:textId="77777777" w:rsidTr="0068794A">
        <w:tc>
          <w:tcPr>
            <w:tcW w:w="805" w:type="dxa"/>
          </w:tcPr>
          <w:p w14:paraId="39777817" w14:textId="77777777" w:rsidR="00710C7F" w:rsidRPr="00EF48E5" w:rsidRDefault="00710C7F" w:rsidP="001B362D">
            <w:pPr>
              <w:rPr>
                <w:lang w:val="es-419"/>
              </w:rPr>
            </w:pPr>
            <w:r w:rsidRPr="00EF48E5">
              <w:rPr>
                <w:lang w:val="es-419"/>
              </w:rPr>
              <w:t>5</w:t>
            </w:r>
          </w:p>
        </w:tc>
        <w:tc>
          <w:tcPr>
            <w:tcW w:w="3023" w:type="dxa"/>
          </w:tcPr>
          <w:p w14:paraId="3746E8FE" w14:textId="77777777" w:rsidR="00710C7F" w:rsidRPr="00EF48E5" w:rsidRDefault="00710C7F" w:rsidP="001B362D">
            <w:pPr>
              <w:rPr>
                <w:lang w:val="es-419"/>
              </w:rPr>
            </w:pPr>
            <w:r w:rsidRPr="00EF48E5">
              <w:rPr>
                <w:lang w:val="es-419"/>
              </w:rPr>
              <w:t>Jamaica</w:t>
            </w:r>
          </w:p>
        </w:tc>
        <w:tc>
          <w:tcPr>
            <w:tcW w:w="5522" w:type="dxa"/>
          </w:tcPr>
          <w:p w14:paraId="36651B8F" w14:textId="77777777" w:rsidR="00710C7F" w:rsidRPr="00EF48E5" w:rsidRDefault="00710C7F" w:rsidP="001B362D">
            <w:pPr>
              <w:rPr>
                <w:lang w:val="es-419"/>
              </w:rPr>
            </w:pPr>
            <w:r w:rsidRPr="00EF48E5">
              <w:rPr>
                <w:lang w:val="es-419"/>
              </w:rPr>
              <w:t xml:space="preserve">Comité Local de Gestión Forestal de </w:t>
            </w:r>
            <w:proofErr w:type="spellStart"/>
            <w:r w:rsidRPr="00EF48E5">
              <w:rPr>
                <w:lang w:val="es-419"/>
              </w:rPr>
              <w:t>Cockpit</w:t>
            </w:r>
            <w:proofErr w:type="spellEnd"/>
            <w:r w:rsidRPr="00EF48E5">
              <w:rPr>
                <w:lang w:val="es-419"/>
              </w:rPr>
              <w:t xml:space="preserve"> Country</w:t>
            </w:r>
          </w:p>
        </w:tc>
      </w:tr>
      <w:tr w:rsidR="00710C7F" w:rsidRPr="00EF48E5" w14:paraId="5651FB03" w14:textId="77777777" w:rsidTr="0068794A">
        <w:tc>
          <w:tcPr>
            <w:tcW w:w="805" w:type="dxa"/>
          </w:tcPr>
          <w:p w14:paraId="0D20CD8F" w14:textId="77777777" w:rsidR="00710C7F" w:rsidRPr="00EF48E5" w:rsidRDefault="00710C7F" w:rsidP="001B362D">
            <w:pPr>
              <w:rPr>
                <w:lang w:val="es-419"/>
              </w:rPr>
            </w:pPr>
            <w:r w:rsidRPr="00EF48E5">
              <w:rPr>
                <w:lang w:val="es-419"/>
              </w:rPr>
              <w:t>6</w:t>
            </w:r>
          </w:p>
        </w:tc>
        <w:tc>
          <w:tcPr>
            <w:tcW w:w="3023" w:type="dxa"/>
          </w:tcPr>
          <w:p w14:paraId="3E7A9122" w14:textId="77777777" w:rsidR="00710C7F" w:rsidRPr="00EF48E5" w:rsidRDefault="00710C7F" w:rsidP="001B362D">
            <w:pPr>
              <w:rPr>
                <w:lang w:val="es-419"/>
              </w:rPr>
            </w:pPr>
            <w:r w:rsidRPr="00EF48E5">
              <w:rPr>
                <w:lang w:val="es-419"/>
              </w:rPr>
              <w:t>Jamaica</w:t>
            </w:r>
          </w:p>
        </w:tc>
        <w:tc>
          <w:tcPr>
            <w:tcW w:w="5522" w:type="dxa"/>
          </w:tcPr>
          <w:p w14:paraId="7F1EA94D" w14:textId="77777777" w:rsidR="00710C7F" w:rsidRPr="00EF48E5" w:rsidRDefault="00710C7F" w:rsidP="001B362D">
            <w:pPr>
              <w:rPr>
                <w:lang w:val="es-419"/>
              </w:rPr>
            </w:pPr>
            <w:r w:rsidRPr="00EF48E5">
              <w:rPr>
                <w:lang w:val="es-419"/>
              </w:rPr>
              <w:t>Comité Local de Gestión Forestal de Dolphin Head</w:t>
            </w:r>
          </w:p>
        </w:tc>
      </w:tr>
      <w:tr w:rsidR="00710C7F" w:rsidRPr="00EF48E5" w14:paraId="5F24EA03" w14:textId="77777777" w:rsidTr="0068794A">
        <w:tc>
          <w:tcPr>
            <w:tcW w:w="805" w:type="dxa"/>
          </w:tcPr>
          <w:p w14:paraId="22178EAA" w14:textId="77777777" w:rsidR="00710C7F" w:rsidRPr="00EF48E5" w:rsidRDefault="00710C7F" w:rsidP="001B362D">
            <w:pPr>
              <w:rPr>
                <w:lang w:val="es-419"/>
              </w:rPr>
            </w:pPr>
            <w:r w:rsidRPr="00EF48E5">
              <w:rPr>
                <w:lang w:val="es-419"/>
              </w:rPr>
              <w:t>7</w:t>
            </w:r>
          </w:p>
        </w:tc>
        <w:tc>
          <w:tcPr>
            <w:tcW w:w="3023" w:type="dxa"/>
          </w:tcPr>
          <w:p w14:paraId="7CC8CACC" w14:textId="77777777" w:rsidR="00710C7F" w:rsidRPr="00EF48E5" w:rsidRDefault="00710C7F" w:rsidP="001B362D">
            <w:pPr>
              <w:rPr>
                <w:lang w:val="es-419"/>
              </w:rPr>
            </w:pPr>
            <w:r w:rsidRPr="00EF48E5">
              <w:rPr>
                <w:lang w:val="es-419"/>
              </w:rPr>
              <w:t>Jamaica</w:t>
            </w:r>
          </w:p>
        </w:tc>
        <w:tc>
          <w:tcPr>
            <w:tcW w:w="5522" w:type="dxa"/>
          </w:tcPr>
          <w:p w14:paraId="3E18F968" w14:textId="77777777" w:rsidR="00710C7F" w:rsidRPr="00EF48E5" w:rsidRDefault="00710C7F" w:rsidP="001B362D">
            <w:pPr>
              <w:rPr>
                <w:lang w:val="es-419"/>
              </w:rPr>
            </w:pPr>
            <w:r w:rsidRPr="00EF48E5">
              <w:rPr>
                <w:lang w:val="es-419"/>
              </w:rPr>
              <w:t xml:space="preserve">Comité de Desarrollo de la Parroquia de </w:t>
            </w:r>
            <w:proofErr w:type="spellStart"/>
            <w:r w:rsidRPr="00EF48E5">
              <w:rPr>
                <w:lang w:val="es-419"/>
              </w:rPr>
              <w:t>St</w:t>
            </w:r>
            <w:proofErr w:type="spellEnd"/>
            <w:r w:rsidRPr="00EF48E5">
              <w:rPr>
                <w:lang w:val="es-419"/>
              </w:rPr>
              <w:t xml:space="preserve"> Ann</w:t>
            </w:r>
          </w:p>
        </w:tc>
      </w:tr>
      <w:tr w:rsidR="00710C7F" w:rsidRPr="00EF48E5" w14:paraId="4E0B8013" w14:textId="77777777" w:rsidTr="0068794A">
        <w:tc>
          <w:tcPr>
            <w:tcW w:w="805" w:type="dxa"/>
          </w:tcPr>
          <w:p w14:paraId="26327020" w14:textId="77777777" w:rsidR="00710C7F" w:rsidRPr="00EF48E5" w:rsidRDefault="00710C7F" w:rsidP="001B362D">
            <w:pPr>
              <w:rPr>
                <w:lang w:val="es-419"/>
              </w:rPr>
            </w:pPr>
            <w:r w:rsidRPr="00EF48E5">
              <w:rPr>
                <w:lang w:val="es-419"/>
              </w:rPr>
              <w:t>8</w:t>
            </w:r>
          </w:p>
        </w:tc>
        <w:tc>
          <w:tcPr>
            <w:tcW w:w="3023" w:type="dxa"/>
          </w:tcPr>
          <w:p w14:paraId="780438D7" w14:textId="77777777" w:rsidR="00710C7F" w:rsidRPr="00EF48E5" w:rsidRDefault="00710C7F" w:rsidP="001B362D">
            <w:pPr>
              <w:rPr>
                <w:lang w:val="es-419"/>
              </w:rPr>
            </w:pPr>
            <w:r w:rsidRPr="00EF48E5">
              <w:rPr>
                <w:lang w:val="es-419"/>
              </w:rPr>
              <w:t>Jamaica</w:t>
            </w:r>
          </w:p>
        </w:tc>
        <w:tc>
          <w:tcPr>
            <w:tcW w:w="5522" w:type="dxa"/>
          </w:tcPr>
          <w:p w14:paraId="5505794E" w14:textId="77777777" w:rsidR="00710C7F" w:rsidRPr="00EF48E5" w:rsidRDefault="00710C7F" w:rsidP="001B362D">
            <w:pPr>
              <w:rPr>
                <w:lang w:val="es-419"/>
              </w:rPr>
            </w:pPr>
            <w:r w:rsidRPr="00EF48E5">
              <w:rPr>
                <w:lang w:val="es-419"/>
              </w:rPr>
              <w:t>Asociación de la comunidad de personas de Bluefields</w:t>
            </w:r>
          </w:p>
        </w:tc>
      </w:tr>
      <w:tr w:rsidR="00710C7F" w:rsidRPr="00EF48E5" w14:paraId="7B8C55DC" w14:textId="77777777" w:rsidTr="0068794A">
        <w:tc>
          <w:tcPr>
            <w:tcW w:w="805" w:type="dxa"/>
          </w:tcPr>
          <w:p w14:paraId="2A3D3178" w14:textId="77777777" w:rsidR="00710C7F" w:rsidRPr="00EF48E5" w:rsidRDefault="00710C7F" w:rsidP="001B362D">
            <w:pPr>
              <w:rPr>
                <w:lang w:val="es-419"/>
              </w:rPr>
            </w:pPr>
            <w:r w:rsidRPr="00EF48E5">
              <w:rPr>
                <w:lang w:val="es-419"/>
              </w:rPr>
              <w:t>9</w:t>
            </w:r>
          </w:p>
        </w:tc>
        <w:tc>
          <w:tcPr>
            <w:tcW w:w="3023" w:type="dxa"/>
          </w:tcPr>
          <w:p w14:paraId="089F96E6" w14:textId="77777777" w:rsidR="00710C7F" w:rsidRPr="00EF48E5" w:rsidRDefault="00710C7F" w:rsidP="001B362D">
            <w:pPr>
              <w:rPr>
                <w:lang w:val="es-419"/>
              </w:rPr>
            </w:pPr>
            <w:r w:rsidRPr="00EF48E5">
              <w:rPr>
                <w:lang w:val="es-419"/>
              </w:rPr>
              <w:t>Santa Lucía</w:t>
            </w:r>
          </w:p>
        </w:tc>
        <w:tc>
          <w:tcPr>
            <w:tcW w:w="5522" w:type="dxa"/>
          </w:tcPr>
          <w:p w14:paraId="6D6CA1E9" w14:textId="6D5C885E" w:rsidR="00710C7F" w:rsidRPr="00EF48E5" w:rsidRDefault="00710C7F" w:rsidP="001B362D">
            <w:pPr>
              <w:rPr>
                <w:lang w:val="es-419"/>
              </w:rPr>
            </w:pPr>
            <w:r w:rsidRPr="00EF48E5">
              <w:rPr>
                <w:lang w:val="es-419"/>
              </w:rPr>
              <w:t xml:space="preserve">Cooperativa de </w:t>
            </w:r>
            <w:r w:rsidR="00FC2AA9">
              <w:rPr>
                <w:lang w:val="es-419"/>
              </w:rPr>
              <w:t>P</w:t>
            </w:r>
            <w:r w:rsidRPr="00EF48E5">
              <w:rPr>
                <w:lang w:val="es-419"/>
              </w:rPr>
              <w:t>escadores de Castries</w:t>
            </w:r>
          </w:p>
        </w:tc>
      </w:tr>
      <w:tr w:rsidR="00710C7F" w:rsidRPr="00EF48E5" w14:paraId="76263764" w14:textId="77777777" w:rsidTr="0068794A">
        <w:tc>
          <w:tcPr>
            <w:tcW w:w="805" w:type="dxa"/>
          </w:tcPr>
          <w:p w14:paraId="51C6E09E" w14:textId="77777777" w:rsidR="00710C7F" w:rsidRPr="00EF48E5" w:rsidRDefault="00710C7F" w:rsidP="001B362D">
            <w:pPr>
              <w:rPr>
                <w:lang w:val="es-419"/>
              </w:rPr>
            </w:pPr>
            <w:r w:rsidRPr="00EF48E5">
              <w:rPr>
                <w:lang w:val="es-419"/>
              </w:rPr>
              <w:t>10</w:t>
            </w:r>
          </w:p>
        </w:tc>
        <w:tc>
          <w:tcPr>
            <w:tcW w:w="3023" w:type="dxa"/>
          </w:tcPr>
          <w:p w14:paraId="55A3E570" w14:textId="77777777" w:rsidR="00710C7F" w:rsidRPr="00EF48E5" w:rsidRDefault="00710C7F" w:rsidP="001B362D">
            <w:pPr>
              <w:rPr>
                <w:lang w:val="es-419"/>
              </w:rPr>
            </w:pPr>
            <w:r w:rsidRPr="00EF48E5">
              <w:rPr>
                <w:lang w:val="es-419"/>
              </w:rPr>
              <w:t>Santa Lucía</w:t>
            </w:r>
          </w:p>
        </w:tc>
        <w:tc>
          <w:tcPr>
            <w:tcW w:w="5522" w:type="dxa"/>
          </w:tcPr>
          <w:p w14:paraId="0BA5E3F0" w14:textId="42502C19" w:rsidR="00710C7F" w:rsidRPr="00EF48E5" w:rsidRDefault="00710C7F" w:rsidP="001B362D">
            <w:pPr>
              <w:rPr>
                <w:lang w:val="es-419"/>
              </w:rPr>
            </w:pPr>
            <w:r w:rsidRPr="00EF48E5">
              <w:rPr>
                <w:lang w:val="es-419"/>
              </w:rPr>
              <w:t xml:space="preserve">Cooperativa de </w:t>
            </w:r>
            <w:r w:rsidR="00FC2AA9">
              <w:rPr>
                <w:lang w:val="es-419"/>
              </w:rPr>
              <w:t>P</w:t>
            </w:r>
            <w:r w:rsidRPr="00EF48E5">
              <w:rPr>
                <w:lang w:val="es-419"/>
              </w:rPr>
              <w:t xml:space="preserve">escadores y </w:t>
            </w:r>
            <w:r w:rsidR="00FC2AA9">
              <w:rPr>
                <w:lang w:val="es-419"/>
              </w:rPr>
              <w:t>C</w:t>
            </w:r>
            <w:r w:rsidRPr="00EF48E5">
              <w:rPr>
                <w:lang w:val="es-419"/>
              </w:rPr>
              <w:t xml:space="preserve">onsumidores de </w:t>
            </w:r>
            <w:proofErr w:type="spellStart"/>
            <w:r w:rsidRPr="00EF48E5">
              <w:rPr>
                <w:lang w:val="es-419"/>
              </w:rPr>
              <w:t>Laborie</w:t>
            </w:r>
            <w:proofErr w:type="spellEnd"/>
          </w:p>
        </w:tc>
      </w:tr>
      <w:tr w:rsidR="00710C7F" w:rsidRPr="00BA436D" w14:paraId="6975297E" w14:textId="77777777" w:rsidTr="0068794A">
        <w:tc>
          <w:tcPr>
            <w:tcW w:w="805" w:type="dxa"/>
          </w:tcPr>
          <w:p w14:paraId="3327E2ED" w14:textId="77777777" w:rsidR="00710C7F" w:rsidRPr="00BA436D" w:rsidRDefault="00710C7F" w:rsidP="001B362D">
            <w:pPr>
              <w:rPr>
                <w:lang w:val="es-419"/>
              </w:rPr>
            </w:pPr>
            <w:r w:rsidRPr="00BA436D">
              <w:rPr>
                <w:lang w:val="es-419"/>
              </w:rPr>
              <w:t>11</w:t>
            </w:r>
          </w:p>
        </w:tc>
        <w:tc>
          <w:tcPr>
            <w:tcW w:w="3023" w:type="dxa"/>
          </w:tcPr>
          <w:p w14:paraId="1C3971A5" w14:textId="3966CB32" w:rsidR="00710C7F" w:rsidRPr="00BA436D" w:rsidRDefault="00710C7F" w:rsidP="001B362D">
            <w:pPr>
              <w:rPr>
                <w:lang w:val="es-419"/>
              </w:rPr>
            </w:pPr>
            <w:r w:rsidRPr="00BA436D">
              <w:rPr>
                <w:lang w:val="es-419"/>
              </w:rPr>
              <w:t xml:space="preserve">San Vicente y las </w:t>
            </w:r>
            <w:proofErr w:type="gramStart"/>
            <w:r w:rsidRPr="00BA436D">
              <w:rPr>
                <w:lang w:val="es-419"/>
              </w:rPr>
              <w:t>Granadinas</w:t>
            </w:r>
            <w:proofErr w:type="gramEnd"/>
          </w:p>
        </w:tc>
        <w:tc>
          <w:tcPr>
            <w:tcW w:w="5522" w:type="dxa"/>
          </w:tcPr>
          <w:p w14:paraId="62C98EB9" w14:textId="77777777" w:rsidR="00710C7F" w:rsidRPr="00BA436D" w:rsidRDefault="00710C7F" w:rsidP="001B362D">
            <w:pPr>
              <w:rPr>
                <w:lang w:val="es-419"/>
              </w:rPr>
            </w:pPr>
            <w:r w:rsidRPr="00BA436D">
              <w:rPr>
                <w:lang w:val="es-419"/>
              </w:rPr>
              <w:t xml:space="preserve">Organización del Patrimonio Comunitario de </w:t>
            </w:r>
            <w:proofErr w:type="spellStart"/>
            <w:r w:rsidRPr="00BA436D">
              <w:rPr>
                <w:lang w:val="es-419"/>
              </w:rPr>
              <w:t>Diamond</w:t>
            </w:r>
            <w:proofErr w:type="spellEnd"/>
            <w:r w:rsidRPr="00BA436D">
              <w:rPr>
                <w:lang w:val="es-419"/>
              </w:rPr>
              <w:t xml:space="preserve"> </w:t>
            </w:r>
            <w:proofErr w:type="spellStart"/>
            <w:r w:rsidRPr="00BA436D">
              <w:rPr>
                <w:lang w:val="es-419"/>
              </w:rPr>
              <w:t>Village</w:t>
            </w:r>
            <w:proofErr w:type="spellEnd"/>
          </w:p>
        </w:tc>
      </w:tr>
      <w:tr w:rsidR="00710C7F" w:rsidRPr="00BA436D" w14:paraId="4BC3B1B5" w14:textId="77777777" w:rsidTr="0068794A">
        <w:tc>
          <w:tcPr>
            <w:tcW w:w="805" w:type="dxa"/>
          </w:tcPr>
          <w:p w14:paraId="4EC5C241" w14:textId="77777777" w:rsidR="00710C7F" w:rsidRPr="00BA436D" w:rsidRDefault="00710C7F" w:rsidP="001B362D">
            <w:pPr>
              <w:rPr>
                <w:lang w:val="es-419"/>
              </w:rPr>
            </w:pPr>
            <w:r w:rsidRPr="00BA436D">
              <w:rPr>
                <w:lang w:val="es-419"/>
              </w:rPr>
              <w:t>12</w:t>
            </w:r>
          </w:p>
        </w:tc>
        <w:tc>
          <w:tcPr>
            <w:tcW w:w="3023" w:type="dxa"/>
          </w:tcPr>
          <w:p w14:paraId="13BA1EA5" w14:textId="30754ADC" w:rsidR="00710C7F" w:rsidRPr="00BA436D" w:rsidRDefault="00710C7F" w:rsidP="001B362D">
            <w:pPr>
              <w:rPr>
                <w:lang w:val="es-419"/>
              </w:rPr>
            </w:pPr>
            <w:r w:rsidRPr="00BA436D">
              <w:rPr>
                <w:lang w:val="es-419"/>
              </w:rPr>
              <w:t xml:space="preserve">San Vicente y las </w:t>
            </w:r>
            <w:proofErr w:type="gramStart"/>
            <w:r w:rsidRPr="00BA436D">
              <w:rPr>
                <w:lang w:val="es-419"/>
              </w:rPr>
              <w:t>Granadinas</w:t>
            </w:r>
            <w:proofErr w:type="gramEnd"/>
          </w:p>
        </w:tc>
        <w:tc>
          <w:tcPr>
            <w:tcW w:w="5522" w:type="dxa"/>
          </w:tcPr>
          <w:p w14:paraId="66364A0D" w14:textId="006CD5FB" w:rsidR="00710C7F" w:rsidRPr="00BA436D" w:rsidRDefault="00710C7F" w:rsidP="001B362D">
            <w:pPr>
              <w:rPr>
                <w:lang w:val="es-419"/>
              </w:rPr>
            </w:pPr>
            <w:r w:rsidRPr="00BA436D">
              <w:rPr>
                <w:lang w:val="es-419"/>
              </w:rPr>
              <w:t xml:space="preserve">Cooperativa </w:t>
            </w:r>
            <w:proofErr w:type="spellStart"/>
            <w:r w:rsidR="00BA436D" w:rsidRPr="00BA436D">
              <w:t>Goodwill</w:t>
            </w:r>
            <w:proofErr w:type="spellEnd"/>
            <w:r w:rsidR="00BA436D" w:rsidRPr="00BA436D">
              <w:t xml:space="preserve"> </w:t>
            </w:r>
            <w:proofErr w:type="spellStart"/>
            <w:r w:rsidR="00BA436D" w:rsidRPr="00BA436D">
              <w:t>Fisherman</w:t>
            </w:r>
            <w:proofErr w:type="spellEnd"/>
          </w:p>
        </w:tc>
      </w:tr>
    </w:tbl>
    <w:p w14:paraId="2D85568E" w14:textId="77777777" w:rsidR="00710C7F" w:rsidRPr="00EF48E5" w:rsidRDefault="00710C7F" w:rsidP="00710C7F">
      <w:pPr>
        <w:keepNext/>
        <w:spacing w:before="160"/>
        <w:rPr>
          <w:b/>
          <w:bCs/>
          <w:lang w:val="es-419"/>
        </w:rPr>
      </w:pPr>
      <w:r w:rsidRPr="00BA436D">
        <w:rPr>
          <w:b/>
          <w:bCs/>
          <w:lang w:val="es-419"/>
        </w:rPr>
        <w:t>Comunidades locales en los sitios de los subproyectos</w:t>
      </w:r>
    </w:p>
    <w:p w14:paraId="6F564B57" w14:textId="5CA5D5D0" w:rsidR="00710C7F" w:rsidRPr="00EF48E5" w:rsidRDefault="00710C7F" w:rsidP="00710C7F">
      <w:pPr>
        <w:jc w:val="both"/>
        <w:rPr>
          <w:lang w:val="es-419"/>
        </w:rPr>
      </w:pPr>
      <w:r w:rsidRPr="00EF48E5">
        <w:rPr>
          <w:lang w:val="es-419"/>
        </w:rPr>
        <w:t xml:space="preserve">Si bien el Caribe en su conjunto se está urbanizando más rápido que cualquier otro lugar del mundo, la mayoría de los subproyectos se llevarán a cabo en áreas rurales, donde la agricultura (tanto en pequeñas explotaciones como en plantaciones comerciales) es una fuente importante de empleo, junto con otros sectores de recursos naturales y turismo. Las economías pequeñas y abiertas de las Islas del Caribe son </w:t>
      </w:r>
      <w:r w:rsidRPr="00EF48E5">
        <w:rPr>
          <w:lang w:val="es-419"/>
        </w:rPr>
        <w:lastRenderedPageBreak/>
        <w:t>vulnerables a las perturbaciones externas, como los desastres naturales, la fluctuación de los precios de los productos básicos en el mercado mundial y la volatilidad del sector del turismo, que es un importante sector generador de ingresos en la mayoría de los países. Antes de la pandemia de COVID-19, la contribución del turismo al PIB de los países del proyecto oscilaba entre el 10 % en Haití y el 60 % en Antigua y Barbuda.</w:t>
      </w:r>
    </w:p>
    <w:p w14:paraId="5C954CED" w14:textId="7A0E4D28" w:rsidR="00710C7F" w:rsidRPr="00EF48E5" w:rsidRDefault="00710C7F" w:rsidP="00710C7F">
      <w:pPr>
        <w:jc w:val="both"/>
        <w:rPr>
          <w:lang w:val="es-419"/>
        </w:rPr>
      </w:pPr>
      <w:r w:rsidRPr="00EF48E5">
        <w:rPr>
          <w:lang w:val="es-419"/>
        </w:rPr>
        <w:t xml:space="preserve">Incluso antes de la pandemia de COVID-19, las partes interesadas consultadas durante la preparación del perfil del ecosistema enfatizaron la necesidad de vínculos entre los medios de vida sostenibles y la conservación de la biodiversidad, ya que es poco probable que los esfuerzos de conservación sean sostenibles a menos que se aborden las prioridades de desarrollo de las comunidades locales. Es probable que esta necesidad se haya intensificado mucho, ya que los ingresos y el empleo del sector del turismo se han derrumbado (al menos temporalmente) y la actividad económica en otros sectores ha disminuido como resultado de la pandemia. Si bien la situación variará entre las comunidades y entre los países según las circunstancias locales, se anticipa que las comunidades locales en los sitios de los subproyectos serán más dependientes de los recursos naturales y económicamente más vulnerables. En este contexto, los subproyectos deberán evitar la captura de los beneficios del proyecto </w:t>
      </w:r>
      <w:r w:rsidR="000B5412">
        <w:rPr>
          <w:lang w:val="es-419"/>
        </w:rPr>
        <w:t xml:space="preserve">por parte de las </w:t>
      </w:r>
      <w:r w:rsidR="000B5412" w:rsidRPr="00BA436D">
        <w:rPr>
          <w:lang w:val="es-419"/>
        </w:rPr>
        <w:t xml:space="preserve">élites </w:t>
      </w:r>
      <w:r w:rsidRPr="00BA436D">
        <w:rPr>
          <w:lang w:val="es-419"/>
        </w:rPr>
        <w:t xml:space="preserve">y evitar </w:t>
      </w:r>
      <w:r w:rsidR="00BA436D" w:rsidRPr="00BA436D">
        <w:rPr>
          <w:lang w:val="es-419"/>
        </w:rPr>
        <w:t xml:space="preserve">la arraigada </w:t>
      </w:r>
      <w:r w:rsidRPr="00BA436D">
        <w:rPr>
          <w:lang w:val="es-419"/>
        </w:rPr>
        <w:t>exclusión social de los grupos vulnerables. Esto requerirá un análisis de las partes interesadas, incluida la identificación de grupos vulnerables dentro de las comunidades e involucrarlos a l</w:t>
      </w:r>
      <w:r w:rsidRPr="00EF48E5">
        <w:rPr>
          <w:lang w:val="es-419"/>
        </w:rPr>
        <w:t>o largo del ciclo del proyecto.</w:t>
      </w:r>
    </w:p>
    <w:p w14:paraId="66B517E8" w14:textId="51507BE2" w:rsidR="00710C7F" w:rsidRPr="00EF48E5" w:rsidRDefault="00710C7F" w:rsidP="00710C7F">
      <w:pPr>
        <w:jc w:val="both"/>
        <w:rPr>
          <w:lang w:val="es-419"/>
        </w:rPr>
      </w:pPr>
      <w:r w:rsidRPr="00EF48E5">
        <w:rPr>
          <w:lang w:val="es-419"/>
        </w:rPr>
        <w:t xml:space="preserve">Debido a que las subvenciones secundarias se otorgarán sobre una base competitiva </w:t>
      </w:r>
      <w:r w:rsidR="00EA1A0A" w:rsidRPr="00EF48E5">
        <w:rPr>
          <w:lang w:val="es-419"/>
        </w:rPr>
        <w:t xml:space="preserve">(las subvenciones pequeñas de hasta $50,000 serán otorgadas directamente por CANARI en su papel como RIT; las subvenciones grandes serán otorgadas directamente por la Secretaría del CEPF), luego de convocatorias abiertas, la ubicación de </w:t>
      </w:r>
      <w:r w:rsidR="000B5412">
        <w:rPr>
          <w:lang w:val="es-419"/>
        </w:rPr>
        <w:t>l</w:t>
      </w:r>
      <w:r w:rsidR="00EA1A0A" w:rsidRPr="00EF48E5">
        <w:rPr>
          <w:lang w:val="es-419"/>
        </w:rPr>
        <w:t>as actividades del proyecto y, por lo tanto, las comunidades beneficiarias aún no se conocen. Los solicitantes de subvenciones secundarias deberán describir el contexto social donde se llevarán a cabo las actividades del subproyecto como parte de su solicitud e identificar la ubicación del proyecto. Todas las solicitudes se evaluarán con los ESS del Banco Mundial, siguiendo el proceso establecido en el MGAS, y se solicitará a los solicitantes información adicional sobre las comunidades afectadas, con un nivel de detalle determinado por una evaluación de riesgos sociales.</w:t>
      </w:r>
    </w:p>
    <w:p w14:paraId="4C630A21" w14:textId="15EB4193" w:rsidR="00710C7F" w:rsidRPr="00EF48E5" w:rsidRDefault="00710C7F" w:rsidP="003D2806">
      <w:pPr>
        <w:rPr>
          <w:b/>
          <w:bCs/>
          <w:u w:val="single"/>
          <w:lang w:val="es-419"/>
        </w:rPr>
      </w:pPr>
      <w:bookmarkStart w:id="13" w:name="_Toc51772078"/>
      <w:bookmarkStart w:id="14" w:name="_Toc52881540"/>
      <w:r w:rsidRPr="00EF48E5">
        <w:rPr>
          <w:b/>
          <w:bCs/>
          <w:u w:val="single"/>
          <w:lang w:val="es-419"/>
        </w:rPr>
        <w:t xml:space="preserve">Otras </w:t>
      </w:r>
      <w:r w:rsidR="000B5412">
        <w:rPr>
          <w:b/>
          <w:bCs/>
          <w:u w:val="single"/>
          <w:lang w:val="es-419"/>
        </w:rPr>
        <w:t>p</w:t>
      </w:r>
      <w:r w:rsidRPr="00EF48E5">
        <w:rPr>
          <w:b/>
          <w:bCs/>
          <w:u w:val="single"/>
          <w:lang w:val="es-419"/>
        </w:rPr>
        <w:t xml:space="preserve">artes </w:t>
      </w:r>
      <w:r w:rsidR="000B5412">
        <w:rPr>
          <w:b/>
          <w:bCs/>
          <w:u w:val="single"/>
          <w:lang w:val="es-419"/>
        </w:rPr>
        <w:t>i</w:t>
      </w:r>
      <w:r w:rsidRPr="00EF48E5">
        <w:rPr>
          <w:b/>
          <w:bCs/>
          <w:u w:val="single"/>
          <w:lang w:val="es-419"/>
        </w:rPr>
        <w:t>nteresadas</w:t>
      </w:r>
      <w:bookmarkEnd w:id="13"/>
      <w:bookmarkEnd w:id="14"/>
      <w:r w:rsidRPr="00EF48E5">
        <w:rPr>
          <w:b/>
          <w:bCs/>
          <w:u w:val="single"/>
          <w:lang w:val="es-419"/>
        </w:rPr>
        <w:t xml:space="preserve"> </w:t>
      </w:r>
    </w:p>
    <w:p w14:paraId="0E886E94" w14:textId="77777777" w:rsidR="00710C7F" w:rsidRPr="00EF48E5" w:rsidRDefault="00710C7F" w:rsidP="00710C7F">
      <w:pPr>
        <w:spacing w:before="160"/>
        <w:rPr>
          <w:b/>
          <w:bCs/>
          <w:lang w:val="es-419"/>
        </w:rPr>
      </w:pPr>
      <w:r w:rsidRPr="00EF48E5">
        <w:rPr>
          <w:b/>
          <w:bCs/>
          <w:lang w:val="es-419"/>
        </w:rPr>
        <w:t>Agencias del gobierno nacional</w:t>
      </w:r>
    </w:p>
    <w:p w14:paraId="2306EE65" w14:textId="385D40A3" w:rsidR="00710C7F" w:rsidRPr="00EF48E5" w:rsidRDefault="00710C7F" w:rsidP="00710C7F">
      <w:pPr>
        <w:jc w:val="both"/>
        <w:rPr>
          <w:lang w:val="es-419"/>
        </w:rPr>
      </w:pPr>
      <w:r w:rsidRPr="00EF48E5">
        <w:rPr>
          <w:lang w:val="es-419"/>
        </w:rPr>
        <w:t>El panorama institucional en los países del proyecto puede ser complejo, con múltiples agencias que tienen autoridad superpuesta sobre áreas protegidas u otras KBA, y pocos mecanismos de coordinación generales, particularmente a nivel operativo. El proyecto responderá a este desafío mediante la adopción de un enfoque colaborativo de responsabilidad social para construir alianzas entre diferentes actores, incluidas las agencias gubernamentales relevantes. En particular, será necesario involucrar a las agencias gubernamentales nacionales responsables de la conservación de la biodiversidad y la gestión de las áreas protegidas, así como aquellas con responsabilidades relacionadas con la gestión de los bosques, la pesca, el agua y otros recursos naturales.</w:t>
      </w:r>
    </w:p>
    <w:p w14:paraId="5BF46F3B" w14:textId="4AF79846" w:rsidR="00710C7F" w:rsidRPr="00EF48E5" w:rsidRDefault="00710C7F" w:rsidP="00710C7F">
      <w:pPr>
        <w:jc w:val="both"/>
        <w:rPr>
          <w:lang w:val="es-419"/>
        </w:rPr>
      </w:pPr>
      <w:r w:rsidRPr="00EF48E5">
        <w:rPr>
          <w:lang w:val="es-419"/>
        </w:rPr>
        <w:t>En Antigua y Barbuda, la Autoridad de Parques Nacionales, el Consejo de Barbuda y la División de Pesca constituyen las autoridades legales que administran las áreas protegidas operativas, mientras que la Unidad Forestal y la Autoridad de Control del Desarrollo también están autorizadas para administrar áreas protegidas y otros sitios de gran valor para la biodiversidad.</w:t>
      </w:r>
    </w:p>
    <w:p w14:paraId="4B5C22C5" w14:textId="77777777" w:rsidR="00710C7F" w:rsidRPr="00EF48E5" w:rsidRDefault="00710C7F" w:rsidP="00710C7F">
      <w:pPr>
        <w:jc w:val="both"/>
        <w:rPr>
          <w:lang w:val="es-419"/>
        </w:rPr>
      </w:pPr>
      <w:r w:rsidRPr="00EF48E5">
        <w:rPr>
          <w:lang w:val="es-419"/>
        </w:rPr>
        <w:t>El Fideicomiso Nacional de las Bahamas supervisa el Sistema de Parques Nacionales de las Bahamas, mientras que el Departamento de Recursos Marinos es la agencia gubernamental a cargo de la Red de Reservas Marinas.</w:t>
      </w:r>
    </w:p>
    <w:p w14:paraId="28AEAE78" w14:textId="37458BC3" w:rsidR="00710C7F" w:rsidRPr="00EF48E5" w:rsidRDefault="00710C7F" w:rsidP="00710C7F">
      <w:pPr>
        <w:jc w:val="both"/>
        <w:rPr>
          <w:lang w:val="es-419"/>
        </w:rPr>
      </w:pPr>
      <w:r w:rsidRPr="00EF48E5">
        <w:rPr>
          <w:lang w:val="es-419"/>
        </w:rPr>
        <w:t>La Dirección de Áreas Protegidas d</w:t>
      </w:r>
      <w:r w:rsidR="006E090A">
        <w:rPr>
          <w:lang w:val="es-419"/>
        </w:rPr>
        <w:t xml:space="preserve">el </w:t>
      </w:r>
      <w:r w:rsidRPr="00EF48E5">
        <w:rPr>
          <w:lang w:val="es-419"/>
        </w:rPr>
        <w:t>Ministerio de Medio Ambiente y Recursos Naturales es la principal autoridad a cargo de la gestión de áreas protegidas en la República Dominicana. Siguiendo las recientes políticas de descentralización, se ha otorgado a los ayuntamientos una mayor autoridad para la gestión ambiental, incluida la facultad de declarar áreas para la conservación dentro de su jurisdicción territorial.</w:t>
      </w:r>
    </w:p>
    <w:p w14:paraId="5067EF56" w14:textId="20FE37D2" w:rsidR="00710C7F" w:rsidRPr="00EF48E5" w:rsidRDefault="00710C7F" w:rsidP="00710C7F">
      <w:pPr>
        <w:jc w:val="both"/>
        <w:rPr>
          <w:lang w:val="es-419"/>
        </w:rPr>
      </w:pPr>
      <w:r w:rsidRPr="00EF48E5">
        <w:rPr>
          <w:lang w:val="es-419"/>
        </w:rPr>
        <w:t>En Haití</w:t>
      </w:r>
      <w:r w:rsidR="006457CD">
        <w:rPr>
          <w:lang w:val="es-419"/>
        </w:rPr>
        <w:t>,</w:t>
      </w:r>
      <w:r w:rsidRPr="00EF48E5">
        <w:rPr>
          <w:i/>
          <w:iCs/>
          <w:lang w:val="es-419"/>
        </w:rPr>
        <w:t xml:space="preserve"> </w:t>
      </w:r>
      <w:proofErr w:type="spellStart"/>
      <w:r w:rsidRPr="00EF48E5">
        <w:rPr>
          <w:i/>
          <w:iCs/>
          <w:lang w:val="es-419"/>
        </w:rPr>
        <w:t>l'Agence</w:t>
      </w:r>
      <w:proofErr w:type="spellEnd"/>
      <w:r w:rsidRPr="00EF48E5">
        <w:rPr>
          <w:i/>
          <w:iCs/>
          <w:lang w:val="es-419"/>
        </w:rPr>
        <w:t xml:space="preserve"> </w:t>
      </w:r>
      <w:proofErr w:type="spellStart"/>
      <w:r w:rsidRPr="00EF48E5">
        <w:rPr>
          <w:i/>
          <w:iCs/>
          <w:lang w:val="es-419"/>
        </w:rPr>
        <w:t>Nationale</w:t>
      </w:r>
      <w:proofErr w:type="spellEnd"/>
      <w:r w:rsidRPr="00EF48E5">
        <w:rPr>
          <w:i/>
          <w:iCs/>
          <w:lang w:val="es-419"/>
        </w:rPr>
        <w:t xml:space="preserve"> des Aires </w:t>
      </w:r>
      <w:proofErr w:type="spellStart"/>
      <w:r w:rsidRPr="00EF48E5">
        <w:rPr>
          <w:i/>
          <w:iCs/>
          <w:lang w:val="es-419"/>
        </w:rPr>
        <w:t>Protégées</w:t>
      </w:r>
      <w:proofErr w:type="spellEnd"/>
      <w:r w:rsidRPr="00EF48E5">
        <w:rPr>
          <w:i/>
          <w:iCs/>
          <w:lang w:val="es-419"/>
        </w:rPr>
        <w:t xml:space="preserve"> </w:t>
      </w:r>
      <w:r w:rsidRPr="00EF48E5">
        <w:rPr>
          <w:lang w:val="es-419"/>
        </w:rPr>
        <w:t>(Agencia Nacional de Áreas Protegidas o ANAP) es la agencia gubernamental responsable de la gestión de áreas protegidas.</w:t>
      </w:r>
    </w:p>
    <w:p w14:paraId="3E55837E" w14:textId="77777777" w:rsidR="00710C7F" w:rsidRPr="00EF48E5" w:rsidRDefault="00710C7F" w:rsidP="00710C7F">
      <w:pPr>
        <w:jc w:val="both"/>
        <w:rPr>
          <w:lang w:val="es-419"/>
        </w:rPr>
      </w:pPr>
      <w:r w:rsidRPr="00EF48E5">
        <w:rPr>
          <w:lang w:val="es-419"/>
        </w:rPr>
        <w:t>En Jamaica, las agencias a cargo de la gestión de áreas protegidas son la Autoridad de Conservación de Recursos Naturales, la Agencia Nacional de Planificación y Medio Ambiente, la División de Pesca, el Departamento Forestal y el Fideicomiso del Patrimonio Nacional de Jamaica.</w:t>
      </w:r>
    </w:p>
    <w:p w14:paraId="71A25D06" w14:textId="77777777" w:rsidR="00710C7F" w:rsidRPr="00EF48E5" w:rsidRDefault="00710C7F" w:rsidP="00710C7F">
      <w:pPr>
        <w:jc w:val="both"/>
        <w:rPr>
          <w:lang w:val="es-419"/>
        </w:rPr>
      </w:pPr>
      <w:r w:rsidRPr="00EF48E5">
        <w:rPr>
          <w:lang w:val="es-419"/>
        </w:rPr>
        <w:lastRenderedPageBreak/>
        <w:t>En Santa Lucía, las reservas forestales y los bosques protegidos están bajo la responsabilidad del Departamento Forestal, mientras que las reservas naturales están bajo la autoridad del Fideicomiso Nacional de Santa Lucía. Las áreas de manejo marino y las reservas marinas están bajo la responsabilidad del Departamento de Pesca.</w:t>
      </w:r>
    </w:p>
    <w:p w14:paraId="7CD7B0BA" w14:textId="176A251E" w:rsidR="00710C7F" w:rsidRPr="00EF48E5" w:rsidRDefault="00710C7F" w:rsidP="00710C7F">
      <w:pPr>
        <w:jc w:val="both"/>
        <w:rPr>
          <w:lang w:val="es-419"/>
        </w:rPr>
      </w:pPr>
      <w:r w:rsidRPr="00EF48E5">
        <w:rPr>
          <w:lang w:val="es-419"/>
        </w:rPr>
        <w:t xml:space="preserve">En San Vicente y las </w:t>
      </w:r>
      <w:proofErr w:type="gramStart"/>
      <w:r w:rsidRPr="00EF48E5">
        <w:rPr>
          <w:lang w:val="es-419"/>
        </w:rPr>
        <w:t>Granadinas</w:t>
      </w:r>
      <w:proofErr w:type="gramEnd"/>
      <w:r w:rsidRPr="00EF48E5">
        <w:rPr>
          <w:lang w:val="es-419"/>
        </w:rPr>
        <w:t xml:space="preserve">, la Autoridad de Parques Nacionales, Ríos y Playas es el coordinador principal de la </w:t>
      </w:r>
      <w:r w:rsidRPr="00BA436D">
        <w:rPr>
          <w:lang w:val="es-419"/>
        </w:rPr>
        <w:t xml:space="preserve">gestión de áreas protegidas y trabaja en asociación con varias organizaciones gubernamentales, como el Departamento Forestal, el Departamento de Pesca y </w:t>
      </w:r>
      <w:r w:rsidR="00BA436D" w:rsidRPr="00BA436D">
        <w:rPr>
          <w:lang w:val="es-419"/>
        </w:rPr>
        <w:t xml:space="preserve">el Fideicomiso de </w:t>
      </w:r>
      <w:r w:rsidRPr="00BA436D">
        <w:rPr>
          <w:lang w:val="es-419"/>
        </w:rPr>
        <w:t>San Vicente y las Granadinas.</w:t>
      </w:r>
    </w:p>
    <w:p w14:paraId="79A3D204" w14:textId="39406F5F" w:rsidR="00710C7F" w:rsidRPr="00EF48E5" w:rsidRDefault="00710C7F" w:rsidP="00710C7F">
      <w:pPr>
        <w:jc w:val="both"/>
        <w:rPr>
          <w:lang w:val="es-419"/>
        </w:rPr>
      </w:pPr>
      <w:r w:rsidRPr="00EF48E5">
        <w:rPr>
          <w:lang w:val="es-419"/>
        </w:rPr>
        <w:t>Las agencias del gobierno nacional participarán en varias actividades del proyecto CANARI guiadas por la estrategia de participación y comunicación, incluida la creación conjunta de análisis de los desafíos de conservación y soluciones compartidas para ellos, utilizando un enfoque colaborativo de responsabilidad social. Esto asegurará que las acciones de conservación identificadas estén bien alineadas con los planes nacionales de desarrollo y los planes de adaptación al cambio climático. Las agencias gubernamentales nacionales seleccionadas también serán invitadas a unirse al Comité Asesor Regional: un organismo establecido en el marco del proyecto para brindar asesoramiento independiente a la Secretaría del CEPF y al RIT en la selección de solicitudes de subvenciones secundarias para la adjudicación, así como el desarrollo estratégico de</w:t>
      </w:r>
      <w:r w:rsidR="00E329E0">
        <w:rPr>
          <w:lang w:val="es-419"/>
        </w:rPr>
        <w:t>l</w:t>
      </w:r>
      <w:r w:rsidRPr="00EF48E5">
        <w:rPr>
          <w:lang w:val="es-419"/>
        </w:rPr>
        <w:t xml:space="preserve"> proyecto.</w:t>
      </w:r>
    </w:p>
    <w:p w14:paraId="1CBCECCD" w14:textId="77777777" w:rsidR="00710C7F" w:rsidRPr="00EF48E5" w:rsidRDefault="00710C7F" w:rsidP="00710C7F">
      <w:pPr>
        <w:keepNext/>
        <w:rPr>
          <w:b/>
          <w:bCs/>
          <w:lang w:val="es-419"/>
        </w:rPr>
      </w:pPr>
      <w:r w:rsidRPr="00EF48E5">
        <w:rPr>
          <w:b/>
          <w:bCs/>
          <w:lang w:val="es-419"/>
        </w:rPr>
        <w:t>Agencias gubernamentales locales</w:t>
      </w:r>
    </w:p>
    <w:p w14:paraId="16D52601" w14:textId="71FF792A" w:rsidR="00710C7F" w:rsidRPr="00EF48E5" w:rsidRDefault="00710C7F" w:rsidP="00710C7F">
      <w:pPr>
        <w:jc w:val="both"/>
        <w:rPr>
          <w:lang w:val="es-419"/>
        </w:rPr>
      </w:pPr>
      <w:r w:rsidRPr="00EF48E5">
        <w:rPr>
          <w:lang w:val="es-419"/>
        </w:rPr>
        <w:t xml:space="preserve">Las agencias gubernamentales locales, a nivel municipal, </w:t>
      </w:r>
      <w:r w:rsidR="00E329E0">
        <w:rPr>
          <w:lang w:val="es-419"/>
        </w:rPr>
        <w:t xml:space="preserve">distrital </w:t>
      </w:r>
      <w:r w:rsidRPr="00EF48E5">
        <w:rPr>
          <w:lang w:val="es-419"/>
        </w:rPr>
        <w:t xml:space="preserve">o equivalente, son un grupo clave de partes interesadas del proyecto debido a su papel de liderazgo en la planificación del uso de la tierra y otras decisiones de desarrollo. El proyecto involucrará a las agencias gubernamentales locales en los procesos colaborativos de responsabilidad social para las KBA prioritarias y los grupos de KBA prioritarias. El proyecto facilitará las alianzas entre las agencias gubernamentales locales, las OSC, las comunidades, los actores del sector privado y otras partes interesadas para identificar y </w:t>
      </w:r>
      <w:r w:rsidR="00D27815" w:rsidRPr="00EF48E5">
        <w:rPr>
          <w:lang w:val="es-419"/>
        </w:rPr>
        <w:t xml:space="preserve">analizar </w:t>
      </w:r>
      <w:r w:rsidRPr="00EF48E5">
        <w:rPr>
          <w:lang w:val="es-419"/>
        </w:rPr>
        <w:t>los problemas de conservación locales y desarrollar soluciones conjuntas para ellos. Algunas de estas soluciones se implementarán a través de subvenciones secundarias. Si bien las agencias del sector público no serán elegibles para recibir subvenciones secundarias, se espera que las OSC desarrollen sus subvenciones secundarias en estrecha consulta con las agencias gubernamentales locales relevantes, para obtener los permisos y autorizaciones necesarios, y para garantizar que se alineen con los planes de desarrollo local. y prioridades.</w:t>
      </w:r>
    </w:p>
    <w:p w14:paraId="0A1FAA51" w14:textId="77777777" w:rsidR="00710C7F" w:rsidRPr="00EF48E5" w:rsidRDefault="00710C7F" w:rsidP="00710C7F">
      <w:pPr>
        <w:keepNext/>
        <w:rPr>
          <w:b/>
          <w:bCs/>
          <w:lang w:val="es-419"/>
        </w:rPr>
      </w:pPr>
      <w:r w:rsidRPr="00EF48E5">
        <w:rPr>
          <w:b/>
          <w:bCs/>
          <w:lang w:val="es-419"/>
        </w:rPr>
        <w:t>Actores del sector privado</w:t>
      </w:r>
    </w:p>
    <w:p w14:paraId="7BD59082" w14:textId="3ED764E3" w:rsidR="00710C7F" w:rsidRPr="00EF48E5" w:rsidRDefault="00710C7F" w:rsidP="00710C7F">
      <w:pPr>
        <w:jc w:val="both"/>
        <w:rPr>
          <w:lang w:val="es-419"/>
        </w:rPr>
      </w:pPr>
      <w:r w:rsidRPr="00EF48E5">
        <w:rPr>
          <w:lang w:val="es-419"/>
        </w:rPr>
        <w:t>El sector privado en la mayoría de las islas del Caribe incluye empresas nacionales, regionales y multinacionales, pero se compone principalmente de pequeñas y medianas empresas de propiedad local que operan en ciudades/pueblos pequeños y medianos y carecen de vínculos sólidos con la economía mundial.</w:t>
      </w:r>
    </w:p>
    <w:p w14:paraId="4B15B613" w14:textId="18276157" w:rsidR="00710C7F" w:rsidRPr="00EF48E5" w:rsidRDefault="00710C7F" w:rsidP="00710C7F">
      <w:pPr>
        <w:jc w:val="both"/>
        <w:rPr>
          <w:lang w:val="es-419"/>
        </w:rPr>
      </w:pPr>
      <w:r w:rsidRPr="00EF48E5">
        <w:rPr>
          <w:lang w:val="es-419"/>
        </w:rPr>
        <w:t>Algunas de las grandes empresas privadas de la región han establecido fundaciones benéficas como vehículo para las donaciones corporativas en los países y comunidades donde operan. La mayoría de estas fundaciones empresariales orientan sus aportes hacia temas sociales (educación, salud, etc.), aunque algunas tienen un enfoque ambiental, como la Fundación Propagas</w:t>
      </w:r>
      <w:r w:rsidR="006457CD">
        <w:rPr>
          <w:lang w:val="es-419"/>
        </w:rPr>
        <w:t>,</w:t>
      </w:r>
      <w:r w:rsidRPr="00EF48E5">
        <w:rPr>
          <w:lang w:val="es-419"/>
        </w:rPr>
        <w:t xml:space="preserve"> la fundación empresarial del Grupo Propagas</w:t>
      </w:r>
      <w:r w:rsidR="006457CD">
        <w:rPr>
          <w:lang w:val="es-419"/>
        </w:rPr>
        <w:t>,</w:t>
      </w:r>
      <w:r w:rsidRPr="00EF48E5">
        <w:rPr>
          <w:lang w:val="es-419"/>
        </w:rPr>
        <w:t xml:space="preserve"> que apoya las actividades de conservación del Parque Nacional Dr. Juan Bautista. Pérez en República Dominicana.</w:t>
      </w:r>
    </w:p>
    <w:p w14:paraId="1AF6D1A5" w14:textId="26975FEB" w:rsidR="00710C7F" w:rsidRPr="00EF48E5" w:rsidRDefault="00710C7F" w:rsidP="00710C7F">
      <w:pPr>
        <w:jc w:val="both"/>
        <w:rPr>
          <w:lang w:val="es-419"/>
        </w:rPr>
      </w:pPr>
      <w:r w:rsidRPr="00EF48E5">
        <w:rPr>
          <w:lang w:val="es-419"/>
        </w:rPr>
        <w:t xml:space="preserve">Los esfuerzos para involucrar al sector privado en </w:t>
      </w:r>
      <w:r w:rsidR="006457CD">
        <w:rPr>
          <w:lang w:val="es-419"/>
        </w:rPr>
        <w:t>la con</w:t>
      </w:r>
      <w:r w:rsidRPr="00EF48E5">
        <w:rPr>
          <w:lang w:val="es-419"/>
        </w:rPr>
        <w:t xml:space="preserve">servación en todo el </w:t>
      </w:r>
      <w:proofErr w:type="spellStart"/>
      <w:r w:rsidRPr="00EF48E5">
        <w:rPr>
          <w:lang w:val="es-419"/>
        </w:rPr>
        <w:t>hotspot</w:t>
      </w:r>
      <w:proofErr w:type="spellEnd"/>
      <w:r w:rsidRPr="00EF48E5">
        <w:rPr>
          <w:lang w:val="es-419"/>
        </w:rPr>
        <w:t xml:space="preserve"> han tenido diversos grados de éxito. Durante la fase inicial de inversión del CEPF, las iniciativas en Antigua y Barbuda, República Dominicana y Haití dieron como resultado colaboraciones exitosas entre las OSC y el sector privado. La mayor parte de la tracción se ganó en la República Dominicana, donde hay una </w:t>
      </w:r>
      <w:r w:rsidRPr="00EF48E5">
        <w:rPr>
          <w:i/>
          <w:iCs/>
          <w:lang w:val="es-419"/>
        </w:rPr>
        <w:t xml:space="preserve">Red Nacional de Apoyo Empresarial a la Protección </w:t>
      </w:r>
      <w:r w:rsidR="006457CD">
        <w:rPr>
          <w:i/>
          <w:iCs/>
          <w:lang w:val="es-419"/>
        </w:rPr>
        <w:t>(</w:t>
      </w:r>
      <w:r w:rsidRPr="00EF48E5">
        <w:rPr>
          <w:lang w:val="es-419"/>
        </w:rPr>
        <w:t xml:space="preserve">ECORED): una red sin fines de lucro de 90 miembros de organizaciones del sector privado comprometidas con el desarrollo de una cultura de desarrollo sostenible. Esta experiencia se basará en el proyecto, donde se prevé que los actores del sector privado participen en el diseño y la implementación de acciones de conservación colaborativas en y alrededor de las </w:t>
      </w:r>
      <w:r w:rsidR="00E01D7B">
        <w:rPr>
          <w:lang w:val="es-419"/>
        </w:rPr>
        <w:t>KBA</w:t>
      </w:r>
      <w:r w:rsidRPr="00EF48E5">
        <w:rPr>
          <w:lang w:val="es-419"/>
        </w:rPr>
        <w:t xml:space="preserve"> prioritarias. Se proporciona una lista indicativa de actores del sector privado en los países del proyecto para dar un ejemplo de los tipos de organización que podrían participar en el proyecto de esta manera.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250"/>
        <w:gridCol w:w="5575"/>
      </w:tblGrid>
      <w:tr w:rsidR="00710C7F" w:rsidRPr="00EF48E5" w14:paraId="081B443F" w14:textId="77777777" w:rsidTr="0068794A">
        <w:tc>
          <w:tcPr>
            <w:tcW w:w="805" w:type="dxa"/>
          </w:tcPr>
          <w:p w14:paraId="09D55926" w14:textId="77777777" w:rsidR="00710C7F" w:rsidRPr="00EF48E5" w:rsidRDefault="00710C7F" w:rsidP="001B362D">
            <w:pPr>
              <w:jc w:val="both"/>
              <w:rPr>
                <w:b/>
                <w:bCs/>
                <w:lang w:val="es-419"/>
              </w:rPr>
            </w:pPr>
            <w:r w:rsidRPr="00EF48E5">
              <w:rPr>
                <w:b/>
                <w:bCs/>
                <w:lang w:val="es-419"/>
              </w:rPr>
              <w:t>#</w:t>
            </w:r>
          </w:p>
        </w:tc>
        <w:tc>
          <w:tcPr>
            <w:tcW w:w="2250" w:type="dxa"/>
          </w:tcPr>
          <w:p w14:paraId="58C9AEBE" w14:textId="77777777" w:rsidR="00710C7F" w:rsidRPr="00EF48E5" w:rsidRDefault="00710C7F" w:rsidP="001B362D">
            <w:pPr>
              <w:jc w:val="both"/>
              <w:rPr>
                <w:b/>
                <w:bCs/>
                <w:lang w:val="es-419"/>
              </w:rPr>
            </w:pPr>
            <w:r w:rsidRPr="00EF48E5">
              <w:rPr>
                <w:b/>
                <w:bCs/>
                <w:lang w:val="es-419"/>
              </w:rPr>
              <w:t>País</w:t>
            </w:r>
          </w:p>
        </w:tc>
        <w:tc>
          <w:tcPr>
            <w:tcW w:w="5575" w:type="dxa"/>
          </w:tcPr>
          <w:p w14:paraId="4C4181BE" w14:textId="41CF1AED" w:rsidR="00710C7F" w:rsidRPr="00BA436D" w:rsidRDefault="00D27815" w:rsidP="001B362D">
            <w:pPr>
              <w:jc w:val="both"/>
              <w:rPr>
                <w:b/>
                <w:bCs/>
                <w:lang w:val="es-419"/>
              </w:rPr>
            </w:pPr>
            <w:r w:rsidRPr="00BA436D">
              <w:rPr>
                <w:b/>
                <w:bCs/>
                <w:lang w:val="es-419"/>
              </w:rPr>
              <w:t xml:space="preserve">Nombre de la </w:t>
            </w:r>
            <w:r w:rsidR="006457CD" w:rsidRPr="00BA436D">
              <w:rPr>
                <w:b/>
                <w:bCs/>
                <w:lang w:val="es-419"/>
              </w:rPr>
              <w:t>o</w:t>
            </w:r>
            <w:r w:rsidRPr="00BA436D">
              <w:rPr>
                <w:b/>
                <w:bCs/>
                <w:lang w:val="es-419"/>
              </w:rPr>
              <w:t>rganización</w:t>
            </w:r>
          </w:p>
        </w:tc>
      </w:tr>
      <w:tr w:rsidR="00710C7F" w:rsidRPr="00EF48E5" w14:paraId="5BCD217D" w14:textId="77777777" w:rsidTr="00BA436D">
        <w:trPr>
          <w:trHeight w:val="60"/>
        </w:trPr>
        <w:tc>
          <w:tcPr>
            <w:tcW w:w="805" w:type="dxa"/>
          </w:tcPr>
          <w:p w14:paraId="1915DFC8" w14:textId="77777777" w:rsidR="00710C7F" w:rsidRPr="00EF48E5" w:rsidRDefault="00710C7F" w:rsidP="001B362D">
            <w:pPr>
              <w:jc w:val="both"/>
              <w:rPr>
                <w:lang w:val="es-419"/>
              </w:rPr>
            </w:pPr>
            <w:r w:rsidRPr="00EF48E5">
              <w:rPr>
                <w:lang w:val="es-419"/>
              </w:rPr>
              <w:t>1</w:t>
            </w:r>
          </w:p>
        </w:tc>
        <w:tc>
          <w:tcPr>
            <w:tcW w:w="2250" w:type="dxa"/>
          </w:tcPr>
          <w:p w14:paraId="7736CCA7" w14:textId="77777777" w:rsidR="00710C7F" w:rsidRPr="00EF48E5" w:rsidRDefault="00710C7F" w:rsidP="001B362D">
            <w:pPr>
              <w:jc w:val="both"/>
              <w:rPr>
                <w:lang w:val="es-419"/>
              </w:rPr>
            </w:pPr>
            <w:r w:rsidRPr="00EF48E5">
              <w:rPr>
                <w:lang w:val="es-419"/>
              </w:rPr>
              <w:t>República Dominicana</w:t>
            </w:r>
          </w:p>
        </w:tc>
        <w:tc>
          <w:tcPr>
            <w:tcW w:w="5575" w:type="dxa"/>
          </w:tcPr>
          <w:p w14:paraId="0C560A13" w14:textId="77777777" w:rsidR="00710C7F" w:rsidRPr="00BA436D" w:rsidRDefault="00710C7F" w:rsidP="001B362D">
            <w:pPr>
              <w:jc w:val="both"/>
              <w:rPr>
                <w:lang w:val="es-419"/>
              </w:rPr>
            </w:pPr>
            <w:r w:rsidRPr="00BA436D">
              <w:rPr>
                <w:lang w:val="es-419"/>
              </w:rPr>
              <w:t>Barrick Pueblo Viejo</w:t>
            </w:r>
          </w:p>
        </w:tc>
      </w:tr>
      <w:tr w:rsidR="00710C7F" w:rsidRPr="00EF48E5" w14:paraId="410F7F6C" w14:textId="77777777" w:rsidTr="0068794A">
        <w:tc>
          <w:tcPr>
            <w:tcW w:w="805" w:type="dxa"/>
          </w:tcPr>
          <w:p w14:paraId="678AA727" w14:textId="77777777" w:rsidR="00710C7F" w:rsidRPr="00EF48E5" w:rsidRDefault="00710C7F" w:rsidP="001B362D">
            <w:pPr>
              <w:jc w:val="both"/>
              <w:rPr>
                <w:lang w:val="es-419"/>
              </w:rPr>
            </w:pPr>
            <w:r w:rsidRPr="00EF48E5">
              <w:rPr>
                <w:lang w:val="es-419"/>
              </w:rPr>
              <w:t>2</w:t>
            </w:r>
          </w:p>
        </w:tc>
        <w:tc>
          <w:tcPr>
            <w:tcW w:w="2250" w:type="dxa"/>
          </w:tcPr>
          <w:p w14:paraId="4D3B6ED7" w14:textId="77777777" w:rsidR="00710C7F" w:rsidRPr="00EF48E5" w:rsidRDefault="00710C7F" w:rsidP="001B362D">
            <w:pPr>
              <w:jc w:val="both"/>
              <w:rPr>
                <w:lang w:val="es-419"/>
              </w:rPr>
            </w:pPr>
            <w:r w:rsidRPr="00EF48E5">
              <w:rPr>
                <w:lang w:val="es-419"/>
              </w:rPr>
              <w:t>República Dominicana</w:t>
            </w:r>
          </w:p>
        </w:tc>
        <w:tc>
          <w:tcPr>
            <w:tcW w:w="5575" w:type="dxa"/>
          </w:tcPr>
          <w:p w14:paraId="7C18089E" w14:textId="77777777" w:rsidR="00710C7F" w:rsidRPr="00EF48E5" w:rsidRDefault="00710C7F" w:rsidP="001B362D">
            <w:pPr>
              <w:jc w:val="both"/>
              <w:rPr>
                <w:lang w:val="es-419"/>
              </w:rPr>
            </w:pPr>
            <w:r w:rsidRPr="00EF48E5">
              <w:rPr>
                <w:lang w:val="es-419"/>
              </w:rPr>
              <w:t>Bepensa SA de CV</w:t>
            </w:r>
          </w:p>
        </w:tc>
      </w:tr>
      <w:tr w:rsidR="00710C7F" w:rsidRPr="00EF48E5" w14:paraId="4CD1B267" w14:textId="77777777" w:rsidTr="0068794A">
        <w:tc>
          <w:tcPr>
            <w:tcW w:w="805" w:type="dxa"/>
          </w:tcPr>
          <w:p w14:paraId="0A982CFA" w14:textId="77777777" w:rsidR="00710C7F" w:rsidRPr="00EF48E5" w:rsidRDefault="00710C7F" w:rsidP="001B362D">
            <w:pPr>
              <w:jc w:val="both"/>
              <w:rPr>
                <w:lang w:val="es-419"/>
              </w:rPr>
            </w:pPr>
            <w:r w:rsidRPr="00EF48E5">
              <w:rPr>
                <w:lang w:val="es-419"/>
              </w:rPr>
              <w:lastRenderedPageBreak/>
              <w:t>3</w:t>
            </w:r>
          </w:p>
        </w:tc>
        <w:tc>
          <w:tcPr>
            <w:tcW w:w="2250" w:type="dxa"/>
          </w:tcPr>
          <w:p w14:paraId="0B022507" w14:textId="77777777" w:rsidR="00710C7F" w:rsidRPr="00EF48E5" w:rsidRDefault="00710C7F" w:rsidP="001B362D">
            <w:pPr>
              <w:jc w:val="both"/>
              <w:rPr>
                <w:lang w:val="es-419"/>
              </w:rPr>
            </w:pPr>
            <w:r w:rsidRPr="00EF48E5">
              <w:rPr>
                <w:lang w:val="es-419"/>
              </w:rPr>
              <w:t>República Dominicana</w:t>
            </w:r>
          </w:p>
        </w:tc>
        <w:tc>
          <w:tcPr>
            <w:tcW w:w="5575" w:type="dxa"/>
          </w:tcPr>
          <w:p w14:paraId="6C53257A" w14:textId="77777777" w:rsidR="00710C7F" w:rsidRPr="00EF48E5" w:rsidRDefault="00710C7F" w:rsidP="001B362D">
            <w:pPr>
              <w:jc w:val="both"/>
              <w:rPr>
                <w:lang w:val="es-419"/>
              </w:rPr>
            </w:pPr>
            <w:r w:rsidRPr="00EF48E5">
              <w:rPr>
                <w:lang w:val="es-419"/>
              </w:rPr>
              <w:t>Fundación Propagas</w:t>
            </w:r>
          </w:p>
        </w:tc>
      </w:tr>
      <w:tr w:rsidR="00710C7F" w:rsidRPr="00EF48E5" w14:paraId="4741C30B" w14:textId="77777777" w:rsidTr="0068794A">
        <w:tc>
          <w:tcPr>
            <w:tcW w:w="805" w:type="dxa"/>
          </w:tcPr>
          <w:p w14:paraId="23B607A4" w14:textId="77777777" w:rsidR="00710C7F" w:rsidRPr="00EF48E5" w:rsidRDefault="00710C7F" w:rsidP="001B362D">
            <w:pPr>
              <w:jc w:val="both"/>
              <w:rPr>
                <w:lang w:val="es-419"/>
              </w:rPr>
            </w:pPr>
            <w:r w:rsidRPr="00EF48E5">
              <w:rPr>
                <w:lang w:val="es-419"/>
              </w:rPr>
              <w:t>4</w:t>
            </w:r>
          </w:p>
        </w:tc>
        <w:tc>
          <w:tcPr>
            <w:tcW w:w="2250" w:type="dxa"/>
          </w:tcPr>
          <w:p w14:paraId="194FD979" w14:textId="77777777" w:rsidR="00710C7F" w:rsidRPr="00EF48E5" w:rsidRDefault="00710C7F" w:rsidP="001B362D">
            <w:pPr>
              <w:jc w:val="both"/>
              <w:rPr>
                <w:lang w:val="es-419"/>
              </w:rPr>
            </w:pPr>
            <w:r w:rsidRPr="00EF48E5">
              <w:rPr>
                <w:lang w:val="es-419"/>
              </w:rPr>
              <w:t>República Dominicana</w:t>
            </w:r>
          </w:p>
        </w:tc>
        <w:tc>
          <w:tcPr>
            <w:tcW w:w="5575" w:type="dxa"/>
          </w:tcPr>
          <w:p w14:paraId="2756C7F5" w14:textId="77777777" w:rsidR="00710C7F" w:rsidRPr="00EF48E5" w:rsidRDefault="00710C7F" w:rsidP="001B362D">
            <w:pPr>
              <w:jc w:val="both"/>
              <w:rPr>
                <w:lang w:val="es-419"/>
              </w:rPr>
            </w:pPr>
            <w:r w:rsidRPr="00EF48E5">
              <w:rPr>
                <w:lang w:val="es-419"/>
              </w:rPr>
              <w:t>Fundación Tropigas</w:t>
            </w:r>
          </w:p>
        </w:tc>
      </w:tr>
      <w:tr w:rsidR="00710C7F" w:rsidRPr="00EF48E5" w14:paraId="61963AE7" w14:textId="77777777" w:rsidTr="0068794A">
        <w:tc>
          <w:tcPr>
            <w:tcW w:w="805" w:type="dxa"/>
          </w:tcPr>
          <w:p w14:paraId="40E449F3" w14:textId="77777777" w:rsidR="00710C7F" w:rsidRPr="00EF48E5" w:rsidRDefault="00710C7F" w:rsidP="001B362D">
            <w:pPr>
              <w:jc w:val="both"/>
              <w:rPr>
                <w:lang w:val="es-419"/>
              </w:rPr>
            </w:pPr>
            <w:r w:rsidRPr="00EF48E5">
              <w:rPr>
                <w:lang w:val="es-419"/>
              </w:rPr>
              <w:t>5</w:t>
            </w:r>
          </w:p>
        </w:tc>
        <w:tc>
          <w:tcPr>
            <w:tcW w:w="2250" w:type="dxa"/>
          </w:tcPr>
          <w:p w14:paraId="10F5B7A9" w14:textId="77777777" w:rsidR="00710C7F" w:rsidRPr="00EF48E5" w:rsidRDefault="00710C7F" w:rsidP="001B362D">
            <w:pPr>
              <w:jc w:val="both"/>
              <w:rPr>
                <w:lang w:val="es-419"/>
              </w:rPr>
            </w:pPr>
            <w:r w:rsidRPr="00EF48E5">
              <w:rPr>
                <w:lang w:val="es-419"/>
              </w:rPr>
              <w:t>República Dominicana</w:t>
            </w:r>
          </w:p>
        </w:tc>
        <w:tc>
          <w:tcPr>
            <w:tcW w:w="5575" w:type="dxa"/>
          </w:tcPr>
          <w:p w14:paraId="3D9393B4" w14:textId="77777777" w:rsidR="00710C7F" w:rsidRPr="00EF48E5" w:rsidRDefault="00710C7F" w:rsidP="001B362D">
            <w:pPr>
              <w:jc w:val="both"/>
              <w:rPr>
                <w:lang w:val="es-419"/>
              </w:rPr>
            </w:pPr>
            <w:r w:rsidRPr="00EF48E5">
              <w:rPr>
                <w:lang w:val="es-419"/>
              </w:rPr>
              <w:t>Bon Helados</w:t>
            </w:r>
          </w:p>
        </w:tc>
      </w:tr>
      <w:tr w:rsidR="00710C7F" w:rsidRPr="00EF48E5" w14:paraId="65EF282F" w14:textId="77777777" w:rsidTr="0068794A">
        <w:tc>
          <w:tcPr>
            <w:tcW w:w="805" w:type="dxa"/>
          </w:tcPr>
          <w:p w14:paraId="5B5E99F1" w14:textId="77777777" w:rsidR="00710C7F" w:rsidRPr="00EF48E5" w:rsidRDefault="00710C7F" w:rsidP="001B362D">
            <w:pPr>
              <w:jc w:val="both"/>
              <w:rPr>
                <w:lang w:val="es-419"/>
              </w:rPr>
            </w:pPr>
            <w:r w:rsidRPr="00EF48E5">
              <w:rPr>
                <w:lang w:val="es-419"/>
              </w:rPr>
              <w:t>6</w:t>
            </w:r>
          </w:p>
        </w:tc>
        <w:tc>
          <w:tcPr>
            <w:tcW w:w="2250" w:type="dxa"/>
          </w:tcPr>
          <w:p w14:paraId="57448D37" w14:textId="77777777" w:rsidR="00710C7F" w:rsidRPr="00EF48E5" w:rsidRDefault="00710C7F" w:rsidP="001B362D">
            <w:pPr>
              <w:jc w:val="both"/>
              <w:rPr>
                <w:lang w:val="es-419"/>
              </w:rPr>
            </w:pPr>
            <w:r w:rsidRPr="00EF48E5">
              <w:rPr>
                <w:lang w:val="es-419"/>
              </w:rPr>
              <w:t>República Dominicana</w:t>
            </w:r>
          </w:p>
        </w:tc>
        <w:tc>
          <w:tcPr>
            <w:tcW w:w="5575" w:type="dxa"/>
          </w:tcPr>
          <w:p w14:paraId="7BEA4893" w14:textId="77777777" w:rsidR="00710C7F" w:rsidRPr="00EF48E5" w:rsidRDefault="00710C7F" w:rsidP="001B362D">
            <w:pPr>
              <w:jc w:val="both"/>
              <w:rPr>
                <w:lang w:val="es-419"/>
              </w:rPr>
            </w:pPr>
            <w:r w:rsidRPr="00EF48E5">
              <w:rPr>
                <w:lang w:val="es-419"/>
              </w:rPr>
              <w:t>nacional de apoyo empresarial</w:t>
            </w:r>
          </w:p>
        </w:tc>
      </w:tr>
      <w:tr w:rsidR="00710C7F" w:rsidRPr="00EF48E5" w14:paraId="4D6E3FB6" w14:textId="77777777" w:rsidTr="0068794A">
        <w:tc>
          <w:tcPr>
            <w:tcW w:w="805" w:type="dxa"/>
          </w:tcPr>
          <w:p w14:paraId="22E58BC9" w14:textId="77777777" w:rsidR="00710C7F" w:rsidRPr="00EF48E5" w:rsidRDefault="00710C7F" w:rsidP="001B362D">
            <w:pPr>
              <w:jc w:val="both"/>
              <w:rPr>
                <w:lang w:val="es-419"/>
              </w:rPr>
            </w:pPr>
            <w:r w:rsidRPr="00EF48E5">
              <w:rPr>
                <w:lang w:val="es-419"/>
              </w:rPr>
              <w:t>7</w:t>
            </w:r>
          </w:p>
        </w:tc>
        <w:tc>
          <w:tcPr>
            <w:tcW w:w="2250" w:type="dxa"/>
          </w:tcPr>
          <w:p w14:paraId="5B306965" w14:textId="77777777" w:rsidR="00710C7F" w:rsidRPr="00EF48E5" w:rsidRDefault="00710C7F" w:rsidP="001B362D">
            <w:pPr>
              <w:jc w:val="both"/>
              <w:rPr>
                <w:lang w:val="es-419"/>
              </w:rPr>
            </w:pPr>
            <w:r w:rsidRPr="00EF48E5">
              <w:rPr>
                <w:lang w:val="es-419"/>
              </w:rPr>
              <w:t>Jamaica</w:t>
            </w:r>
          </w:p>
        </w:tc>
        <w:tc>
          <w:tcPr>
            <w:tcW w:w="5575" w:type="dxa"/>
          </w:tcPr>
          <w:p w14:paraId="6B483D8D" w14:textId="77777777" w:rsidR="00710C7F" w:rsidRPr="00EF48E5" w:rsidRDefault="00710C7F" w:rsidP="001B362D">
            <w:pPr>
              <w:jc w:val="both"/>
              <w:rPr>
                <w:lang w:val="es-419"/>
              </w:rPr>
            </w:pPr>
            <w:proofErr w:type="spellStart"/>
            <w:r w:rsidRPr="00EF48E5">
              <w:rPr>
                <w:lang w:val="es-419"/>
              </w:rPr>
              <w:t>Sandals</w:t>
            </w:r>
            <w:proofErr w:type="spellEnd"/>
            <w:r w:rsidRPr="00EF48E5">
              <w:rPr>
                <w:lang w:val="es-419"/>
              </w:rPr>
              <w:t xml:space="preserve"> Resorts Internacional</w:t>
            </w:r>
          </w:p>
        </w:tc>
      </w:tr>
      <w:tr w:rsidR="00710C7F" w:rsidRPr="00EF48E5" w14:paraId="3F989EEC" w14:textId="77777777" w:rsidTr="0068794A">
        <w:tc>
          <w:tcPr>
            <w:tcW w:w="805" w:type="dxa"/>
          </w:tcPr>
          <w:p w14:paraId="198EFBC4" w14:textId="77777777" w:rsidR="00710C7F" w:rsidRPr="00EF48E5" w:rsidRDefault="00710C7F" w:rsidP="001B362D">
            <w:pPr>
              <w:jc w:val="both"/>
              <w:rPr>
                <w:lang w:val="es-419"/>
              </w:rPr>
            </w:pPr>
            <w:r w:rsidRPr="00EF48E5">
              <w:rPr>
                <w:lang w:val="es-419"/>
              </w:rPr>
              <w:t>8</w:t>
            </w:r>
          </w:p>
        </w:tc>
        <w:tc>
          <w:tcPr>
            <w:tcW w:w="2250" w:type="dxa"/>
          </w:tcPr>
          <w:p w14:paraId="1D5D4F18" w14:textId="77777777" w:rsidR="00710C7F" w:rsidRPr="00EF48E5" w:rsidRDefault="00710C7F" w:rsidP="001B362D">
            <w:pPr>
              <w:jc w:val="both"/>
              <w:rPr>
                <w:lang w:val="es-419"/>
              </w:rPr>
            </w:pPr>
            <w:r w:rsidRPr="00EF48E5">
              <w:rPr>
                <w:lang w:val="es-419"/>
              </w:rPr>
              <w:t>Santa Lucía</w:t>
            </w:r>
          </w:p>
        </w:tc>
        <w:tc>
          <w:tcPr>
            <w:tcW w:w="5575" w:type="dxa"/>
          </w:tcPr>
          <w:p w14:paraId="1FB00ABC" w14:textId="77777777" w:rsidR="00710C7F" w:rsidRPr="00EF48E5" w:rsidRDefault="00710C7F" w:rsidP="001B362D">
            <w:pPr>
              <w:jc w:val="both"/>
              <w:rPr>
                <w:lang w:val="es-419"/>
              </w:rPr>
            </w:pPr>
            <w:r w:rsidRPr="00EF48E5">
              <w:rPr>
                <w:lang w:val="es-419"/>
              </w:rPr>
              <w:t xml:space="preserve">Lucia </w:t>
            </w:r>
            <w:proofErr w:type="spellStart"/>
            <w:r w:rsidRPr="00EF48E5">
              <w:rPr>
                <w:lang w:val="es-419"/>
              </w:rPr>
              <w:t>Electricity</w:t>
            </w:r>
            <w:proofErr w:type="spellEnd"/>
            <w:r w:rsidRPr="00EF48E5">
              <w:rPr>
                <w:lang w:val="es-419"/>
              </w:rPr>
              <w:t xml:space="preserve"> Services </w:t>
            </w:r>
            <w:proofErr w:type="spellStart"/>
            <w:r w:rsidRPr="00EF48E5">
              <w:rPr>
                <w:lang w:val="es-419"/>
              </w:rPr>
              <w:t>Limited</w:t>
            </w:r>
            <w:proofErr w:type="spellEnd"/>
          </w:p>
        </w:tc>
      </w:tr>
    </w:tbl>
    <w:p w14:paraId="59A70604" w14:textId="77777777" w:rsidR="0068794A" w:rsidRPr="00EF48E5" w:rsidRDefault="0068794A" w:rsidP="00797405">
      <w:pPr>
        <w:jc w:val="both"/>
        <w:rPr>
          <w:lang w:val="es-419"/>
        </w:rPr>
      </w:pPr>
    </w:p>
    <w:p w14:paraId="156306C5" w14:textId="2C692B18" w:rsidR="00797405" w:rsidRPr="00EF48E5" w:rsidRDefault="00797405" w:rsidP="00797405">
      <w:pPr>
        <w:jc w:val="both"/>
        <w:rPr>
          <w:lang w:val="es-419"/>
        </w:rPr>
      </w:pPr>
      <w:r w:rsidRPr="00EF48E5">
        <w:rPr>
          <w:lang w:val="es-419"/>
        </w:rPr>
        <w:t>Las asociaciones regionales y nacionales del sector privado (por ejemplo, la Asociación de Hoteles y Turismo del Caribe [CHTA] y las cámaras de comercio nacionales) son grupos clave para llegar a empresas grandes y medianas individuales en todos los sectores.</w:t>
      </w:r>
    </w:p>
    <w:p w14:paraId="7AB25357" w14:textId="13078312" w:rsidR="00710C7F" w:rsidRPr="00EF48E5" w:rsidRDefault="00710C7F" w:rsidP="00710C7F">
      <w:pPr>
        <w:spacing w:before="160"/>
        <w:rPr>
          <w:b/>
          <w:bCs/>
          <w:lang w:val="es-419"/>
        </w:rPr>
      </w:pPr>
      <w:r w:rsidRPr="00420C00">
        <w:rPr>
          <w:b/>
          <w:bCs/>
          <w:lang w:val="es-419"/>
        </w:rPr>
        <w:t>ONG internacionales</w:t>
      </w:r>
    </w:p>
    <w:p w14:paraId="26342DE3" w14:textId="204D35FE" w:rsidR="00710C7F" w:rsidRPr="00EF48E5" w:rsidRDefault="00710C7F" w:rsidP="00710C7F">
      <w:pPr>
        <w:jc w:val="both"/>
        <w:rPr>
          <w:lang w:val="es-419"/>
        </w:rPr>
      </w:pPr>
      <w:r w:rsidRPr="00EF48E5">
        <w:rPr>
          <w:lang w:val="es-419"/>
        </w:rPr>
        <w:t xml:space="preserve">Varias ONG ambientales internacionales tienen programas de larga data en el </w:t>
      </w:r>
      <w:proofErr w:type="spellStart"/>
      <w:r w:rsidRPr="00EF48E5">
        <w:rPr>
          <w:lang w:val="es-419"/>
        </w:rPr>
        <w:t>hotspot</w:t>
      </w:r>
      <w:proofErr w:type="spellEnd"/>
      <w:r w:rsidRPr="00EF48E5">
        <w:rPr>
          <w:lang w:val="es-419"/>
        </w:rPr>
        <w:t xml:space="preserve"> de las islas del Caribe. Incluyen BirdLife International, Durrell </w:t>
      </w:r>
      <w:proofErr w:type="spellStart"/>
      <w:r w:rsidRPr="00EF48E5">
        <w:rPr>
          <w:lang w:val="es-419"/>
        </w:rPr>
        <w:t>Wildlife</w:t>
      </w:r>
      <w:proofErr w:type="spellEnd"/>
      <w:r w:rsidRPr="00EF48E5">
        <w:rPr>
          <w:lang w:val="es-419"/>
        </w:rPr>
        <w:t xml:space="preserve"> </w:t>
      </w:r>
      <w:proofErr w:type="spellStart"/>
      <w:r w:rsidRPr="00EF48E5">
        <w:rPr>
          <w:lang w:val="es-419"/>
        </w:rPr>
        <w:t>Conservation</w:t>
      </w:r>
      <w:proofErr w:type="spellEnd"/>
      <w:r w:rsidRPr="00EF48E5">
        <w:rPr>
          <w:lang w:val="es-419"/>
        </w:rPr>
        <w:t xml:space="preserve"> Trust, Fauna &amp; Flora International, Island </w:t>
      </w:r>
      <w:proofErr w:type="spellStart"/>
      <w:r w:rsidRPr="00EF48E5">
        <w:rPr>
          <w:lang w:val="es-419"/>
        </w:rPr>
        <w:t>Conservation</w:t>
      </w:r>
      <w:proofErr w:type="spellEnd"/>
      <w:r w:rsidRPr="00EF48E5">
        <w:rPr>
          <w:lang w:val="es-419"/>
        </w:rPr>
        <w:t xml:space="preserve">, la Unión Internacional para la Conservación de la Naturaleza, </w:t>
      </w:r>
      <w:proofErr w:type="spellStart"/>
      <w:r w:rsidRPr="00EF48E5">
        <w:rPr>
          <w:lang w:val="es-419"/>
        </w:rPr>
        <w:t>The</w:t>
      </w:r>
      <w:proofErr w:type="spellEnd"/>
      <w:r w:rsidRPr="00EF48E5">
        <w:rPr>
          <w:lang w:val="es-419"/>
        </w:rPr>
        <w:t xml:space="preserve"> </w:t>
      </w:r>
      <w:proofErr w:type="spellStart"/>
      <w:r w:rsidRPr="00EF48E5">
        <w:rPr>
          <w:lang w:val="es-419"/>
        </w:rPr>
        <w:t>Nature</w:t>
      </w:r>
      <w:proofErr w:type="spellEnd"/>
      <w:r w:rsidRPr="00EF48E5">
        <w:rPr>
          <w:lang w:val="es-419"/>
        </w:rPr>
        <w:t xml:space="preserve"> </w:t>
      </w:r>
      <w:proofErr w:type="spellStart"/>
      <w:r w:rsidRPr="00EF48E5">
        <w:rPr>
          <w:lang w:val="es-419"/>
        </w:rPr>
        <w:t>Conservancy</w:t>
      </w:r>
      <w:proofErr w:type="spellEnd"/>
      <w:r w:rsidRPr="00EF48E5">
        <w:rPr>
          <w:lang w:val="es-419"/>
        </w:rPr>
        <w:t xml:space="preserve"> y el Instituto de Recursos Mundiales. Las ONG internacionales juegan un papel importante en la canalización de recursos técnicos hacia las OSC locales de la región.</w:t>
      </w:r>
    </w:p>
    <w:p w14:paraId="3AD12BEA" w14:textId="3783A7B4" w:rsidR="00710C7F" w:rsidRPr="00EF48E5" w:rsidRDefault="00710C7F" w:rsidP="00710C7F">
      <w:pPr>
        <w:jc w:val="both"/>
        <w:rPr>
          <w:lang w:val="es-419"/>
        </w:rPr>
      </w:pPr>
      <w:r w:rsidRPr="00EF48E5">
        <w:rPr>
          <w:lang w:val="es-419"/>
        </w:rPr>
        <w:t>Algunas OSC del Caribe, sin embargo, están preocupadas por lo que perciben como un comportamiento depredador y competencia por los recursos de los donantes de algunas ONG internacionales. La competencia por los recursos se ve reforzada por la práctica de los donantes de canalizar las inversiones a través de organizaciones externas en lugar de intermediarios caribeños. En algunos casos, se considera que la agenda de las ONG conservacionistas internacionales está reñida con la de las ONG locales y las comunidades del Caribe. Las políticas y prácticas de las ONG internacionales pueden tener un impacto negativo en las ONG locales al interrumpir las operaciones, agotar la capacidad y distraer o redirigir el enfoque. El proyecto prestará especial atención a garantizar que, cuando las ONG internacionales participen en acciones de colaboración o como proveedores de servicios, las asociaciones con las OSC y las comunidades locales sean equitativas.</w:t>
      </w:r>
    </w:p>
    <w:p w14:paraId="22573A70" w14:textId="042F7CCB" w:rsidR="000C369C" w:rsidRPr="00EF48E5" w:rsidRDefault="008E32D7" w:rsidP="00710C7F">
      <w:pPr>
        <w:jc w:val="both"/>
        <w:rPr>
          <w:b/>
          <w:bCs/>
          <w:lang w:val="es-419"/>
        </w:rPr>
      </w:pPr>
      <w:r w:rsidRPr="00EF48E5">
        <w:rPr>
          <w:b/>
          <w:bCs/>
          <w:lang w:val="es-419"/>
        </w:rPr>
        <w:t>Donantes internacionales y organismos intergubernamentales regionales e internacionales</w:t>
      </w:r>
    </w:p>
    <w:p w14:paraId="333E23B5" w14:textId="0B6AD518" w:rsidR="00F04EEB" w:rsidRPr="00EF48E5" w:rsidRDefault="009F5CA7" w:rsidP="00710C7F">
      <w:pPr>
        <w:jc w:val="both"/>
        <w:rPr>
          <w:lang w:val="es-419"/>
        </w:rPr>
      </w:pPr>
      <w:r w:rsidRPr="00EF48E5">
        <w:rPr>
          <w:lang w:val="es-419"/>
        </w:rPr>
        <w:t xml:space="preserve">En su papel como RIT, CANARI </w:t>
      </w:r>
      <w:r w:rsidR="00A37DCD" w:rsidRPr="00EF48E5">
        <w:rPr>
          <w:lang w:val="es-419"/>
        </w:rPr>
        <w:t>apoyará a la Secretaría del CEPF para garantizar que la inversión en puntos críticos esté bien alineada con las prioridades nacionales y regionales para la conservación de la biodiversidad, la adaptación al cambio climático y el desarrollo sostenible. Esto se hará a través de una coordinación y colaboración efectivas con todas las partes interesadas, incluidos los donantes internacionales y las agencias intergubernamentales regionales e internacionales que trabajan en las áreas focales prioritarias de conservación de la biodiversidad, adaptación al cambio climático y desarrollo sostenible.</w:t>
      </w:r>
    </w:p>
    <w:p w14:paraId="1C7DBD4E" w14:textId="2FB72EA3" w:rsidR="00BE402C" w:rsidRPr="00EF48E5" w:rsidRDefault="00BE402C" w:rsidP="00710C7F">
      <w:pPr>
        <w:jc w:val="both"/>
        <w:rPr>
          <w:lang w:val="es-419"/>
        </w:rPr>
      </w:pPr>
      <w:r w:rsidRPr="00EF48E5">
        <w:rPr>
          <w:rFonts w:eastAsia="Cambria"/>
          <w:lang w:val="es-419"/>
        </w:rPr>
        <w:t xml:space="preserve">Hay muchos financiadores y sus intermediarios que ejecutan subvenciones y otros programas de desarrollo de capacidades centrados en la conservación de la biodiversidad, la adaptación al cambio climático y el desarrollo sostenible en la región. Estos incluyen fundaciones privadas (p. ej., </w:t>
      </w:r>
      <w:proofErr w:type="spellStart"/>
      <w:r w:rsidRPr="00EF48E5">
        <w:rPr>
          <w:rFonts w:eastAsia="Cambria"/>
          <w:lang w:val="es-419"/>
        </w:rPr>
        <w:t>Virgin</w:t>
      </w:r>
      <w:proofErr w:type="spellEnd"/>
      <w:r w:rsidRPr="00EF48E5">
        <w:rPr>
          <w:rFonts w:eastAsia="Cambria"/>
          <w:lang w:val="es-419"/>
        </w:rPr>
        <w:t xml:space="preserve"> </w:t>
      </w:r>
      <w:proofErr w:type="spellStart"/>
      <w:r w:rsidRPr="00EF48E5">
        <w:rPr>
          <w:rFonts w:eastAsia="Cambria"/>
          <w:lang w:val="es-419"/>
        </w:rPr>
        <w:t>Unite</w:t>
      </w:r>
      <w:proofErr w:type="spellEnd"/>
      <w:r w:rsidRPr="00EF48E5">
        <w:rPr>
          <w:rFonts w:eastAsia="Cambria"/>
          <w:lang w:val="es-419"/>
        </w:rPr>
        <w:t xml:space="preserve">, </w:t>
      </w:r>
      <w:proofErr w:type="spellStart"/>
      <w:r w:rsidRPr="00EF48E5">
        <w:rPr>
          <w:rFonts w:eastAsia="Cambria"/>
          <w:lang w:val="es-419"/>
        </w:rPr>
        <w:t>Sandals</w:t>
      </w:r>
      <w:proofErr w:type="spellEnd"/>
      <w:r w:rsidRPr="00EF48E5">
        <w:rPr>
          <w:rFonts w:eastAsia="Cambria"/>
          <w:lang w:val="es-419"/>
        </w:rPr>
        <w:t xml:space="preserve"> </w:t>
      </w:r>
      <w:proofErr w:type="spellStart"/>
      <w:r w:rsidRPr="00EF48E5">
        <w:rPr>
          <w:rFonts w:eastAsia="Cambria"/>
          <w:lang w:val="es-419"/>
        </w:rPr>
        <w:t>Foundation</w:t>
      </w:r>
      <w:proofErr w:type="spellEnd"/>
      <w:r w:rsidRPr="00EF48E5">
        <w:rPr>
          <w:rFonts w:eastAsia="Cambria"/>
          <w:lang w:val="es-419"/>
        </w:rPr>
        <w:t xml:space="preserve">), donantes bilaterales (p. ej., </w:t>
      </w:r>
      <w:r w:rsidRPr="00EF48E5">
        <w:rPr>
          <w:bCs/>
          <w:shd w:val="clear" w:color="auto" w:fill="FFFFFF"/>
          <w:lang w:val="es-419"/>
        </w:rPr>
        <w:t xml:space="preserve">la Agencia Canadiense de Desarrollo Internacional </w:t>
      </w:r>
      <w:r w:rsidRPr="00EF48E5">
        <w:rPr>
          <w:shd w:val="clear" w:color="auto" w:fill="FFFFFF"/>
          <w:lang w:val="es-419"/>
        </w:rPr>
        <w:t>[CIDA], Deutsche</w:t>
      </w:r>
      <w:r w:rsidRPr="00EF48E5">
        <w:rPr>
          <w:rStyle w:val="apple-converted-space"/>
          <w:rFonts w:eastAsia="Calibri"/>
          <w:shd w:val="clear" w:color="auto" w:fill="FFFFFF"/>
          <w:lang w:val="es-419"/>
        </w:rPr>
        <w:t> </w:t>
      </w:r>
      <w:proofErr w:type="spellStart"/>
      <w:r w:rsidRPr="00EF48E5">
        <w:rPr>
          <w:rStyle w:val="Emphasis"/>
          <w:rFonts w:eastAsiaTheme="majorEastAsia"/>
          <w:bCs/>
          <w:shd w:val="clear" w:color="auto" w:fill="FFFFFF"/>
          <w:lang w:val="es-419"/>
        </w:rPr>
        <w:t>Gesellschaft</w:t>
      </w:r>
      <w:proofErr w:type="spellEnd"/>
      <w:r w:rsidRPr="00EF48E5">
        <w:rPr>
          <w:rStyle w:val="Emphasis"/>
          <w:rFonts w:eastAsiaTheme="majorEastAsia"/>
          <w:bCs/>
          <w:shd w:val="clear" w:color="auto" w:fill="FFFFFF"/>
          <w:lang w:val="es-419"/>
        </w:rPr>
        <w:t xml:space="preserve"> para Internacional </w:t>
      </w:r>
      <w:proofErr w:type="spellStart"/>
      <w:r w:rsidRPr="00EF48E5">
        <w:rPr>
          <w:rStyle w:val="Emphasis"/>
          <w:rFonts w:eastAsiaTheme="majorEastAsia"/>
          <w:bCs/>
          <w:shd w:val="clear" w:color="auto" w:fill="FFFFFF"/>
          <w:lang w:val="es-419"/>
        </w:rPr>
        <w:t>Zusammenarbeit</w:t>
      </w:r>
      <w:proofErr w:type="spellEnd"/>
      <w:r w:rsidRPr="00EF48E5">
        <w:rPr>
          <w:rStyle w:val="Emphasis"/>
          <w:rFonts w:eastAsiaTheme="majorEastAsia"/>
          <w:bCs/>
          <w:shd w:val="clear" w:color="auto" w:fill="FFFFFF"/>
          <w:lang w:val="es-419"/>
        </w:rPr>
        <w:t xml:space="preserve"> </w:t>
      </w:r>
      <w:r w:rsidRPr="00EF48E5">
        <w:rPr>
          <w:rStyle w:val="apple-converted-space"/>
          <w:rFonts w:eastAsia="Calibri"/>
          <w:shd w:val="clear" w:color="auto" w:fill="FFFFFF"/>
          <w:lang w:val="es-419"/>
        </w:rPr>
        <w:t>[</w:t>
      </w:r>
      <w:r w:rsidRPr="00EF48E5">
        <w:rPr>
          <w:rStyle w:val="Emphasis"/>
          <w:rFonts w:eastAsiaTheme="majorEastAsia"/>
          <w:bCs/>
          <w:shd w:val="clear" w:color="auto" w:fill="FFFFFF"/>
          <w:lang w:val="es-419"/>
        </w:rPr>
        <w:t xml:space="preserve">GIZ], </w:t>
      </w:r>
      <w:r w:rsidRPr="00EF48E5">
        <w:rPr>
          <w:rStyle w:val="Emphasis"/>
          <w:rFonts w:eastAsia="Calibri"/>
          <w:bCs/>
          <w:i w:val="0"/>
          <w:iCs w:val="0"/>
          <w:shd w:val="clear" w:color="auto" w:fill="FFFFFF"/>
          <w:lang w:val="es-419"/>
        </w:rPr>
        <w:t>Agencia de Cooperación Internacional de Japón [JICA]</w:t>
      </w:r>
      <w:r w:rsidR="006457CD">
        <w:rPr>
          <w:rStyle w:val="Emphasis"/>
          <w:rFonts w:eastAsia="Calibri"/>
          <w:bCs/>
          <w:i w:val="0"/>
          <w:iCs w:val="0"/>
          <w:shd w:val="clear" w:color="auto" w:fill="FFFFFF"/>
          <w:lang w:val="es-419"/>
        </w:rPr>
        <w:t>,</w:t>
      </w:r>
      <w:r w:rsidRPr="00EF48E5">
        <w:rPr>
          <w:rFonts w:eastAsia="Cambria"/>
          <w:i/>
          <w:iCs/>
          <w:lang w:val="es-419"/>
        </w:rPr>
        <w:t xml:space="preserve"> </w:t>
      </w:r>
      <w:r w:rsidRPr="00EF48E5">
        <w:rPr>
          <w:rFonts w:eastAsia="Cambria"/>
          <w:lang w:val="es-419"/>
        </w:rPr>
        <w:t>Agencia de los Estados Unidos para el Desarrollo Internacional [USAID]) y donantes multilaterales (por ejemplo</w:t>
      </w:r>
      <w:r w:rsidR="006457CD">
        <w:rPr>
          <w:rFonts w:eastAsia="Cambria"/>
          <w:lang w:val="es-419"/>
        </w:rPr>
        <w:t>,</w:t>
      </w:r>
      <w:r w:rsidRPr="00EF48E5">
        <w:rPr>
          <w:rFonts w:eastAsia="Cambria"/>
          <w:lang w:val="es-419"/>
        </w:rPr>
        <w:t xml:space="preserve"> la Unión Europea). También existen programas conjuntos de donantes (p. ej., Fondo de Biodiversidad del Caribe [CBF]). Los fondos globales como el Fondo para el Medio Ambiente Mundial (GEF) y el Fondo Verde para el Clima (GCF) son fuentes importantes de fondos que son implementados por intermediarios que generalmente son agencias regionales o internacionales (por ejemplo, CARICOM o agencias de las Naciones Unidas).</w:t>
      </w:r>
    </w:p>
    <w:p w14:paraId="2B138CDD" w14:textId="2184E48E" w:rsidR="00DD4CE7" w:rsidRPr="00EF48E5" w:rsidRDefault="00F04EEB" w:rsidP="00710C7F">
      <w:pPr>
        <w:jc w:val="both"/>
        <w:rPr>
          <w:bCs/>
          <w:lang w:val="es-419"/>
        </w:rPr>
      </w:pPr>
      <w:r w:rsidRPr="00EF48E5">
        <w:rPr>
          <w:lang w:val="es-419"/>
        </w:rPr>
        <w:t xml:space="preserve">Hay varios organismos y agencias intergubernamentales regionales e internacionales que </w:t>
      </w:r>
      <w:r w:rsidRPr="00EF48E5">
        <w:rPr>
          <w:color w:val="000000" w:themeColor="text1"/>
          <w:lang w:val="es-419"/>
        </w:rPr>
        <w:t xml:space="preserve">tienen un mandato relevante para la estrategia del CEPF en el </w:t>
      </w:r>
      <w:proofErr w:type="spellStart"/>
      <w:r w:rsidRPr="00EF48E5">
        <w:rPr>
          <w:color w:val="000000" w:themeColor="text1"/>
          <w:lang w:val="es-419"/>
        </w:rPr>
        <w:t>Hotspot</w:t>
      </w:r>
      <w:proofErr w:type="spellEnd"/>
      <w:r w:rsidRPr="00EF48E5">
        <w:rPr>
          <w:color w:val="000000" w:themeColor="text1"/>
          <w:lang w:val="es-419"/>
        </w:rPr>
        <w:t xml:space="preserve"> de Biodiversidad de las Islas del Caribe, por ejemplo: Secretaría de CARICOM, Centro de Cambio Climático de la Comunidad del Caribe (CCCCC), Agencia de Manejo de Emergencias de Desastres del Caribe (CDEMA)</w:t>
      </w:r>
      <w:r w:rsidR="006457CD">
        <w:rPr>
          <w:color w:val="000000" w:themeColor="text1"/>
          <w:lang w:val="es-419"/>
        </w:rPr>
        <w:t>,</w:t>
      </w:r>
      <w:r w:rsidRPr="00EF48E5">
        <w:rPr>
          <w:color w:val="000000" w:themeColor="text1"/>
          <w:lang w:val="es-419"/>
        </w:rPr>
        <w:t xml:space="preserve"> </w:t>
      </w:r>
      <w:r w:rsidRPr="00EF48E5">
        <w:rPr>
          <w:lang w:val="es-419"/>
        </w:rPr>
        <w:t>Agencia de Salud Pública del Caribe (CARPHA), Mecanismo Regional de Pesca del Caribe (CRFM), Organización de Turismo del Caribe (CTO), Comisión de la Organización de Estados del Caribe Oriental (OECO)</w:t>
      </w:r>
      <w:r w:rsidRPr="00EF48E5">
        <w:rPr>
          <w:bCs/>
          <w:lang w:val="es-419"/>
        </w:rPr>
        <w:t>.</w:t>
      </w:r>
    </w:p>
    <w:p w14:paraId="69FB3BBA" w14:textId="0D93509F" w:rsidR="00F04EEB" w:rsidRPr="00EF48E5" w:rsidRDefault="00F04EEB" w:rsidP="00710C7F">
      <w:pPr>
        <w:jc w:val="both"/>
        <w:rPr>
          <w:lang w:val="es-419"/>
        </w:rPr>
      </w:pPr>
      <w:r w:rsidRPr="00EF48E5">
        <w:rPr>
          <w:color w:val="000000" w:themeColor="text1"/>
          <w:lang w:val="es-419"/>
        </w:rPr>
        <w:t xml:space="preserve">Varias agencias internacionales también están operando oficinas y/o programas en la región, por ejemplo: </w:t>
      </w:r>
      <w:r w:rsidRPr="00EF48E5">
        <w:rPr>
          <w:lang w:val="es-419"/>
        </w:rPr>
        <w:t xml:space="preserve">Asociación de Estados del Caribe (AEC), Organización de los Estados Americanos (OEA), Programa de las Naciones Unidas para el Desarrollo (PNUD) y Naciones Unidas para el Medio Ambiente (PNUMA) incluyendo su Programa Ambiental del Caribe (PAC). Los bancos multilaterales también deben ser </w:t>
      </w:r>
      <w:r w:rsidRPr="00EF48E5">
        <w:rPr>
          <w:lang w:val="es-419"/>
        </w:rPr>
        <w:lastRenderedPageBreak/>
        <w:t>considerados aquí, por ejemplo, el Banco de Desarrollo del Caribe (CDB) y el Banco Interamericano de Desarrollo (BID).</w:t>
      </w:r>
    </w:p>
    <w:p w14:paraId="6BE52B92" w14:textId="07F55645" w:rsidR="001B5684" w:rsidRPr="00EF48E5" w:rsidRDefault="00A37DCD" w:rsidP="00710C7F">
      <w:pPr>
        <w:jc w:val="both"/>
        <w:rPr>
          <w:lang w:val="es-419"/>
        </w:rPr>
      </w:pPr>
      <w:r w:rsidRPr="00EF48E5">
        <w:rPr>
          <w:lang w:val="es-419"/>
        </w:rPr>
        <w:t>El RIT también garantizará la coordinación y colaboración con los donantes del CEPF, en coordinación con la Secretaría del CEPF, incluida una estrecha coordinación con las Unidades de Gestión de País (CMU) del Banco Mundial pertinentes. En particular, el RIT se coordinará con la Secretaría del CEPF para compartir las convocatorias de propuestas con la CMU en Haití con anticipación para obtener el consenso y el apoyo de la CMU. Se facilitarán reuniones de divulgación presenciales y virtuales y mesas redondas con donantes y socios clave.</w:t>
      </w:r>
    </w:p>
    <w:p w14:paraId="6858675A" w14:textId="77777777" w:rsidR="00DA0DAE" w:rsidRPr="00EF48E5" w:rsidRDefault="00DA0DAE" w:rsidP="003D2806">
      <w:pPr>
        <w:rPr>
          <w:b/>
          <w:bCs/>
          <w:lang w:val="es-419"/>
        </w:rPr>
      </w:pPr>
      <w:r w:rsidRPr="00EF48E5">
        <w:rPr>
          <w:b/>
          <w:bCs/>
          <w:lang w:val="es-419"/>
        </w:rPr>
        <w:t>Grupos vulnerables</w:t>
      </w:r>
    </w:p>
    <w:p w14:paraId="2281E32E" w14:textId="1ED738FE" w:rsidR="00DA0DAE" w:rsidRPr="00EF48E5" w:rsidRDefault="00DA0DAE" w:rsidP="00DA0DAE">
      <w:pPr>
        <w:jc w:val="both"/>
        <w:rPr>
          <w:lang w:val="es-419"/>
        </w:rPr>
      </w:pPr>
      <w:r w:rsidRPr="00EF48E5">
        <w:rPr>
          <w:lang w:val="es-419"/>
        </w:rPr>
        <w:t xml:space="preserve">Como se discutió en la sección anterior, las actividades del proyecto, incluidas las </w:t>
      </w:r>
      <w:r w:rsidR="00420C00">
        <w:rPr>
          <w:lang w:val="es-419"/>
        </w:rPr>
        <w:t>de los</w:t>
      </w:r>
      <w:r w:rsidRPr="00EF48E5">
        <w:rPr>
          <w:color w:val="FF0000"/>
          <w:lang w:val="es-419"/>
        </w:rPr>
        <w:t xml:space="preserve"> </w:t>
      </w:r>
      <w:r w:rsidRPr="00EF48E5">
        <w:rPr>
          <w:lang w:val="es-419"/>
        </w:rPr>
        <w:t xml:space="preserve">subproyectos, se llevarán a cabo en un contexto de mayor vulnerabilidad económica y dependencia de los recursos naturales, lo que significa que los </w:t>
      </w:r>
      <w:proofErr w:type="spellStart"/>
      <w:r w:rsidRPr="00EF48E5">
        <w:rPr>
          <w:lang w:val="es-419"/>
        </w:rPr>
        <w:t>sub-beneficiarios</w:t>
      </w:r>
      <w:proofErr w:type="spellEnd"/>
      <w:r w:rsidRPr="00EF48E5">
        <w:rPr>
          <w:lang w:val="es-419"/>
        </w:rPr>
        <w:t xml:space="preserve"> necesitarán identificar grupos vulnerables dentro de las comunidades locales en los sitios donde planean implementar actividades e involucrarlos a lo largo del proceso</w:t>
      </w:r>
      <w:r w:rsidR="00420C00">
        <w:rPr>
          <w:lang w:val="es-419"/>
        </w:rPr>
        <w:t xml:space="preserve"> del </w:t>
      </w:r>
      <w:r w:rsidRPr="00EF48E5">
        <w:rPr>
          <w:lang w:val="es-419"/>
        </w:rPr>
        <w:t>ciclo del proyecto. De esta forma, se pueden mitigar los riesgos de captura por parte de las élites y la exclusión social. El análisis de las partes interesadas se llevará a cabo como parte del desarrollo del SEP para cada subproyecto individual. Esta sección resume los principales tipos de grupos vulnerables que pueden estar presentes en cada sitio del subproyecto. No todos estos grupos estarán necesariamente presentes en todos los sitios. Del mismo modo, esta no pretende ser una lista exclusiva, ya que puede haber grupos adicionales que no se identifican aquí.</w:t>
      </w:r>
    </w:p>
    <w:p w14:paraId="6BF51C5F" w14:textId="77777777" w:rsidR="00DA0DAE" w:rsidRPr="00EF48E5" w:rsidRDefault="00DA0DAE" w:rsidP="00DA0DAE">
      <w:pPr>
        <w:keepNext/>
        <w:jc w:val="both"/>
        <w:rPr>
          <w:b/>
          <w:bCs/>
          <w:lang w:val="es-419"/>
        </w:rPr>
      </w:pPr>
      <w:r w:rsidRPr="00EF48E5">
        <w:rPr>
          <w:b/>
          <w:bCs/>
          <w:lang w:val="es-419"/>
        </w:rPr>
        <w:t>Mujeres</w:t>
      </w:r>
    </w:p>
    <w:p w14:paraId="354E5F59" w14:textId="3D974D94" w:rsidR="00DA0DAE" w:rsidRPr="00EF48E5" w:rsidRDefault="00DA0DAE" w:rsidP="00DA0DAE">
      <w:pPr>
        <w:spacing w:line="240" w:lineRule="auto"/>
        <w:jc w:val="both"/>
        <w:rPr>
          <w:lang w:val="es-419"/>
        </w:rPr>
      </w:pPr>
      <w:r w:rsidRPr="00EF48E5">
        <w:rPr>
          <w:lang w:val="es-419"/>
        </w:rPr>
        <w:t>La pobreza tiene una dimensión de género en las islas del Caribe: hay una mayor prevalencia de pobreza entre las mujeres que entre los hombres. Las mujeres están muy involucradas en sectores productivos que dependen de los recursos naturales, como la agricultura y la pesca. Sin embargo, existen desigualdades estructurales en las sociedades caribeñas que influyen en el acceso de las mujeres a los recursos, incluidos los recursos naturales y productivos. El sector agrícola, que es la principal fuente de ingresos y empleo en las comunidades rurales en y alrededor de muchos de los sitios prioritarios donde se centrará el proyecto, está segregado por género, y los hombres dominan la propiedad de la tierra</w:t>
      </w:r>
      <w:r w:rsidR="006457CD">
        <w:rPr>
          <w:lang w:val="es-419"/>
        </w:rPr>
        <w:t>,</w:t>
      </w:r>
      <w:r w:rsidRPr="00EF48E5">
        <w:rPr>
          <w:rFonts w:eastAsia="Times New Roman"/>
          <w:lang w:val="es-419"/>
        </w:rPr>
        <w:t xml:space="preserve"> el acceso al crédito y otros medios de </w:t>
      </w:r>
      <w:proofErr w:type="gramStart"/>
      <w:r w:rsidRPr="00EF48E5">
        <w:rPr>
          <w:rFonts w:eastAsia="Times New Roman"/>
          <w:lang w:val="es-419"/>
        </w:rPr>
        <w:t>producción.</w:t>
      </w:r>
      <w:r w:rsidR="00ED622F">
        <w:rPr>
          <w:rFonts w:eastAsia="Times New Roman"/>
          <w:lang w:val="es-419"/>
        </w:rPr>
        <w:t>.</w:t>
      </w:r>
      <w:proofErr w:type="gramEnd"/>
      <w:r w:rsidRPr="00EF48E5">
        <w:rPr>
          <w:lang w:val="es-419"/>
        </w:rPr>
        <w:t xml:space="preserve"> </w:t>
      </w:r>
    </w:p>
    <w:p w14:paraId="1AACB678" w14:textId="18A8F614" w:rsidR="00DA0DAE" w:rsidRPr="00EF48E5" w:rsidRDefault="00DA0DAE" w:rsidP="00DA0DAE">
      <w:pPr>
        <w:spacing w:line="240" w:lineRule="auto"/>
        <w:jc w:val="both"/>
        <w:rPr>
          <w:rFonts w:cs="Aetna JY Newstyle Roman"/>
          <w:color w:val="000000"/>
          <w:lang w:val="es-419"/>
        </w:rPr>
      </w:pPr>
      <w:r w:rsidRPr="00EF48E5">
        <w:rPr>
          <w:lang w:val="es-419"/>
        </w:rPr>
        <w:t xml:space="preserve">A nivel del hogar, el acceso al agua tiene una dimensión de género, con las mujeres soportando la carga de la gestión del agua, particularmente en hogares sin acceso a agua por tubería o en tiempos de escasez de agua. Se espera que el cambio climático empeore </w:t>
      </w:r>
      <w:r w:rsidR="00484228">
        <w:rPr>
          <w:lang w:val="es-419"/>
        </w:rPr>
        <w:t xml:space="preserve">los </w:t>
      </w:r>
      <w:r w:rsidRPr="00EF48E5">
        <w:rPr>
          <w:rFonts w:cs="Aetna JY Newstyle Roman"/>
          <w:color w:val="000000"/>
          <w:lang w:val="es-419"/>
        </w:rPr>
        <w:t>problemas ambientales como la deforestación, la escasez de agua y la degradación de la tierra, y tendrá impactos diferenciados en mujeres y hombres en el Caribe.</w:t>
      </w:r>
    </w:p>
    <w:p w14:paraId="386153C6" w14:textId="41B21B60" w:rsidR="0068794A" w:rsidRPr="00EF48E5" w:rsidRDefault="00DA0DAE" w:rsidP="0068794A">
      <w:pPr>
        <w:spacing w:line="240" w:lineRule="auto"/>
        <w:jc w:val="both"/>
        <w:rPr>
          <w:lang w:val="es-419"/>
        </w:rPr>
      </w:pPr>
      <w:r w:rsidRPr="00EF48E5">
        <w:rPr>
          <w:lang w:val="es-419"/>
        </w:rPr>
        <w:t xml:space="preserve">Aunque el desempeño educativo de las mujeres tiende a ser más alto que el de los hombres, las mujeres están subrepresentadas en las empresas a gran escala, el liderazgo y la toma de decisiones, y en las áreas de crecimiento objetivo; tienden a concentrarse en trabajos de menor nivel y peor remunerados. Esto también es cierto para el sector de la sociedad civil en su conjunto. En el contexto del proyecto, las mujeres corren el riesgo de quedar fuera de los procesos de consulta, en los que tradicionalmente predomina la presencia masculina. Por lo tanto, el proyecto deberá garantizar que se escuchen las voces de hombres y mujeres en las consultas, especialmente aquellas que influyen en la selección de actividades o beneficiarios del subproyecto. Esto puede requerir que se celebren consultas separadas para las mujeres. El proyecto también deberá abordar la selección y el diseño de subproyectos con una perspectiva de género, para promover la equidad de género entre los mismos </w:t>
      </w:r>
      <w:proofErr w:type="spellStart"/>
      <w:r w:rsidRPr="00EF48E5">
        <w:rPr>
          <w:lang w:val="es-419"/>
        </w:rPr>
        <w:t>sub-beneficiarios</w:t>
      </w:r>
      <w:proofErr w:type="spellEnd"/>
      <w:r w:rsidRPr="00EF48E5">
        <w:rPr>
          <w:lang w:val="es-419"/>
        </w:rPr>
        <w:t xml:space="preserve">, así como entre los beneficiarios de </w:t>
      </w:r>
      <w:r w:rsidR="00484228">
        <w:rPr>
          <w:lang w:val="es-419"/>
        </w:rPr>
        <w:t>los</w:t>
      </w:r>
      <w:r w:rsidRPr="00EF48E5">
        <w:rPr>
          <w:lang w:val="es-419"/>
        </w:rPr>
        <w:t xml:space="preserve"> subproyectos.</w:t>
      </w:r>
    </w:p>
    <w:p w14:paraId="1BD0F0E7" w14:textId="7CEAAD0B" w:rsidR="00BD7ECF" w:rsidRPr="00EF48E5" w:rsidRDefault="00BD7ECF" w:rsidP="00484228">
      <w:pPr>
        <w:spacing w:line="240" w:lineRule="auto"/>
        <w:jc w:val="both"/>
        <w:rPr>
          <w:lang w:val="es-419"/>
        </w:rPr>
      </w:pPr>
      <w:r w:rsidRPr="00EF48E5">
        <w:rPr>
          <w:lang w:val="es-419"/>
        </w:rPr>
        <w:t xml:space="preserve">CANARI desarrollará o fortalecerá la capacidad de los </w:t>
      </w:r>
      <w:proofErr w:type="spellStart"/>
      <w:r w:rsidRPr="00EF48E5">
        <w:rPr>
          <w:lang w:val="es-419"/>
        </w:rPr>
        <w:t>sub-</w:t>
      </w:r>
      <w:r w:rsidRPr="00BA436D">
        <w:rPr>
          <w:lang w:val="es-419"/>
        </w:rPr>
        <w:t>beneficiarios</w:t>
      </w:r>
      <w:proofErr w:type="spellEnd"/>
      <w:r w:rsidRPr="00BA436D">
        <w:rPr>
          <w:lang w:val="es-419"/>
        </w:rPr>
        <w:t xml:space="preserve">, según sea necesario, para cumplir con la política de género del CEPF a través de </w:t>
      </w:r>
      <w:r w:rsidR="00BA436D" w:rsidRPr="00BA436D">
        <w:rPr>
          <w:lang w:val="es-419"/>
        </w:rPr>
        <w:t xml:space="preserve">tutoría </w:t>
      </w:r>
      <w:r w:rsidRPr="00BA436D">
        <w:rPr>
          <w:lang w:val="es-419"/>
        </w:rPr>
        <w:t xml:space="preserve">y capacitación personalizada a través de talleres/seminarios </w:t>
      </w:r>
      <w:proofErr w:type="gramStart"/>
      <w:r w:rsidRPr="00BA436D">
        <w:rPr>
          <w:lang w:val="es-419"/>
        </w:rPr>
        <w:t>web virtuales</w:t>
      </w:r>
      <w:proofErr w:type="gramEnd"/>
      <w:r w:rsidRPr="00BA436D">
        <w:rPr>
          <w:lang w:val="es-419"/>
        </w:rPr>
        <w:t>.</w:t>
      </w:r>
    </w:p>
    <w:p w14:paraId="45A2E99C" w14:textId="0CB52173" w:rsidR="00DA0DAE" w:rsidRPr="00EF48E5" w:rsidRDefault="00DA0DAE" w:rsidP="00DA0DAE">
      <w:pPr>
        <w:jc w:val="both"/>
        <w:rPr>
          <w:b/>
          <w:bCs/>
          <w:lang w:val="es-419"/>
        </w:rPr>
      </w:pPr>
      <w:r w:rsidRPr="00EF48E5">
        <w:rPr>
          <w:b/>
          <w:bCs/>
          <w:lang w:val="es-419"/>
        </w:rPr>
        <w:t>Miembros de hogares encabezados por mujeres</w:t>
      </w:r>
    </w:p>
    <w:p w14:paraId="15E8E476" w14:textId="42EC27EB" w:rsidR="00DA0DAE" w:rsidRPr="00EF48E5" w:rsidRDefault="00DA0DAE" w:rsidP="00DA0DAE">
      <w:pPr>
        <w:jc w:val="both"/>
        <w:rPr>
          <w:lang w:val="es-419"/>
        </w:rPr>
      </w:pPr>
      <w:r w:rsidRPr="00EF48E5">
        <w:rPr>
          <w:lang w:val="es-419"/>
        </w:rPr>
        <w:t xml:space="preserve">Las mujeres encabezan casi la mitad de los hogares del Caribe, pero están en desventaja en los mercados laborales de la región. La participación femenina en la fuerza laboral es del 59 por ciento, en comparación con el 79 por ciento de los hombres. Esto tiene implicaciones para los hogares encabezados por mujeres, que tienen más probabilidades de ser pobres que los hogares encabezados por hombres. Sin embargo, hay algunas excepciones. Por ejemplo, la incidencia de la pobreza entre los hogares encabezados por mujeres en Santa Lucía (21%) es casi la misma que entre los hogares encabezados por hombres (22%). En las comunidades rurales, los hogares encabezados por mujeres pueden ser particularmente vulnerables, debido a las desigualdades estructurales en el acceso de las mujeres a los recursos discutidas </w:t>
      </w:r>
      <w:r w:rsidRPr="00EF48E5">
        <w:rPr>
          <w:lang w:val="es-419"/>
        </w:rPr>
        <w:lastRenderedPageBreak/>
        <w:t>anteriormente. Una vez más, el proyecto deberá garantizar que los hogares encabezados por mujeres estén representados y se escuche su voz en las consultas que influyan en el diseño de las actividades del subproyecto y la distribución de los beneficios, para garantizar que no se pasen por alto o se excluyan de los beneficios del proyecto.</w:t>
      </w:r>
    </w:p>
    <w:p w14:paraId="4F578861" w14:textId="6C6A5861" w:rsidR="00027E23" w:rsidRPr="00EF48E5" w:rsidRDefault="00027E23" w:rsidP="00E2722A">
      <w:pPr>
        <w:spacing w:line="240" w:lineRule="auto"/>
        <w:jc w:val="both"/>
        <w:rPr>
          <w:lang w:val="es-419"/>
        </w:rPr>
      </w:pPr>
      <w:r w:rsidRPr="00EF48E5">
        <w:rPr>
          <w:lang w:val="es-419"/>
        </w:rPr>
        <w:t>COVID-19 ha tenido un impacto social y económico y agrega una dimensión al contexto social que no estaba presente cuando se desarrolló el Perfil del Ecosistema. Se desconoce el alcance total del impacto de</w:t>
      </w:r>
      <w:r w:rsidR="00E2722A">
        <w:rPr>
          <w:lang w:val="es-419"/>
        </w:rPr>
        <w:t>l</w:t>
      </w:r>
      <w:r w:rsidRPr="00EF48E5">
        <w:rPr>
          <w:lang w:val="es-419"/>
        </w:rPr>
        <w:t xml:space="preserve"> COVID-19, pero en toda la región ha habido una contracción económica. Hay informes sobre el empeoramiento de las desigualdades de género en el mercado laboral, el deterioro de las dietas y el aumento del hambre, particularmente en los hogares encabezados por mujeres, y una mayor incidencia de la violencia de género.</w:t>
      </w:r>
    </w:p>
    <w:p w14:paraId="22912DBA" w14:textId="543F258E" w:rsidR="00DA0DAE" w:rsidRPr="00EF48E5" w:rsidRDefault="00E2722A" w:rsidP="00DA0DAE">
      <w:pPr>
        <w:jc w:val="both"/>
        <w:rPr>
          <w:b/>
          <w:bCs/>
          <w:lang w:val="es-419"/>
        </w:rPr>
      </w:pPr>
      <w:r>
        <w:rPr>
          <w:b/>
          <w:bCs/>
          <w:lang w:val="es-419"/>
        </w:rPr>
        <w:t>J</w:t>
      </w:r>
      <w:r w:rsidR="00DA0DAE" w:rsidRPr="00EF48E5">
        <w:rPr>
          <w:b/>
          <w:bCs/>
          <w:lang w:val="es-419"/>
        </w:rPr>
        <w:t>óvenes desempleados</w:t>
      </w:r>
    </w:p>
    <w:p w14:paraId="36940E84" w14:textId="43C59A20" w:rsidR="00DA0DAE" w:rsidRPr="00EF48E5" w:rsidRDefault="00DA0DAE" w:rsidP="00DA0DAE">
      <w:pPr>
        <w:spacing w:line="240" w:lineRule="auto"/>
        <w:jc w:val="both"/>
        <w:rPr>
          <w:lang w:val="es-419"/>
        </w:rPr>
      </w:pPr>
      <w:r w:rsidRPr="00EF48E5">
        <w:rPr>
          <w:lang w:val="es-419"/>
        </w:rPr>
        <w:t xml:space="preserve">Los jóvenes desempleados son otro grupo vulnerable dentro de la sociedad caribeña. La vulnerabilidad de la juventud caribeña está relacionada con el bajo rendimiento educativo, las altas tasas de desempleo, la exposición a la violencia y la exposición a enfermedades. Los jóvenes constituyen entre el 28 y el 50 por ciento de todos los desempleados; las mujeres jóvenes tienen más probabilidades de estar desempleadas que los hombres jóvenes. Las tasas de desempleo juvenil oscilan entre el 18 y el 47 por ciento en los países del proyecto; la tasa de desempleo de los jóvenes tiende a ser dos o tres veces mayor que la de los adultos. Más allá de las limitadas oportunidades de empleo, los hombres jóvenes se ven afectados de manera desproporcionada por la delincuencia en el Caribe: son las principales víctimas y perpetradores. Los jóvenes del Caribe también son desproporcionadamente vulnerables a la infección por el VIH. En el contexto del proyecto, los jóvenes desempleados pueden tener menos oportunidades de participar en las actividades del proyecto y/o acceder a medios de vida </w:t>
      </w:r>
      <w:r w:rsidR="004E48A5" w:rsidRPr="00EF48E5">
        <w:rPr>
          <w:lang w:val="es-419"/>
        </w:rPr>
        <w:t>u</w:t>
      </w:r>
      <w:r w:rsidRPr="00EF48E5">
        <w:rPr>
          <w:lang w:val="es-419"/>
        </w:rPr>
        <w:t xml:space="preserve"> oportunidades de empleo debido a que los procesos de consulta están dominados por élites establecidas, que tienden a pertenecer a generaciones mayores. El proyecto deberá abordar la selección y el diseño de subproyectos de tal manera que se creen oportunidades para que los jóvenes desempleados participen en actividades de conservación. Esto podría incluir tanto a los jóvenes de las comunidades rurales dentro y alrededor de las KBA prioritarias, como a los jóvenes urbanos que podrían ser empleados por las OSC o ser contratados por ellas a través de capacitación, pasantías u otros medios. En Jamaica, por ejemplo, existen iniciativas para involucrar a los jóvenes desempleados y evitar que se conviertan en víctimas o perpetradores de delitos, como los Clubes de Jóvenes de la Policía y los Clubes 4-H, esta experiencia puede ser aprovechada por el proyecto.</w:t>
      </w:r>
    </w:p>
    <w:p w14:paraId="68FD9E8A" w14:textId="77777777" w:rsidR="00DA0DAE" w:rsidRPr="00EF48E5" w:rsidRDefault="00DA0DAE" w:rsidP="00DA0DAE">
      <w:pPr>
        <w:keepNext/>
        <w:spacing w:before="160"/>
        <w:jc w:val="both"/>
        <w:rPr>
          <w:b/>
          <w:bCs/>
          <w:lang w:val="es-419"/>
        </w:rPr>
      </w:pPr>
      <w:r w:rsidRPr="00EF48E5">
        <w:rPr>
          <w:b/>
          <w:bCs/>
          <w:lang w:val="es-419"/>
        </w:rPr>
        <w:t>Personas de edad avanzada</w:t>
      </w:r>
    </w:p>
    <w:p w14:paraId="64B80400" w14:textId="68D10711" w:rsidR="00DA0DAE" w:rsidRPr="00EF48E5" w:rsidRDefault="00DA0DAE" w:rsidP="00DA0DAE">
      <w:pPr>
        <w:jc w:val="both"/>
        <w:rPr>
          <w:rFonts w:eastAsia="Times New Roman"/>
          <w:lang w:val="es-419"/>
        </w:rPr>
      </w:pPr>
      <w:r w:rsidRPr="00EF48E5">
        <w:rPr>
          <w:lang w:val="es-419"/>
        </w:rPr>
        <w:t xml:space="preserve">Existe una tendencia a largo plazo de envejecimiento de la población en las Islas del Caribe. Gracias a las mejoras en las condiciones socioeconómicas y los avances médicos globales, los caribeños viven más que antes. </w:t>
      </w:r>
      <w:r w:rsidRPr="00EF48E5">
        <w:rPr>
          <w:rFonts w:eastAsia="Times New Roman"/>
          <w:lang w:val="es-419"/>
        </w:rPr>
        <w:t>Las personas de 60 años o más representaban el 10</w:t>
      </w:r>
      <w:r w:rsidR="004E48A5">
        <w:rPr>
          <w:rFonts w:eastAsia="Times New Roman"/>
          <w:lang w:val="es-419"/>
        </w:rPr>
        <w:t xml:space="preserve"> </w:t>
      </w:r>
      <w:r w:rsidRPr="00EF48E5">
        <w:rPr>
          <w:rFonts w:eastAsia="Times New Roman"/>
          <w:lang w:val="es-419"/>
        </w:rPr>
        <w:t xml:space="preserve">% de la población del Caribe en 2000; se prevé que esta proporción aumente al 26 % para 2050. Al igual que en muchas partes del mundo, las personas mayores son particularmente vulnerables a la exclusión social. Los </w:t>
      </w:r>
      <w:proofErr w:type="spellStart"/>
      <w:r w:rsidRPr="00EF48E5">
        <w:rPr>
          <w:rFonts w:eastAsia="Times New Roman"/>
          <w:lang w:val="es-419"/>
        </w:rPr>
        <w:t>sub-beneficiarios</w:t>
      </w:r>
      <w:proofErr w:type="spellEnd"/>
      <w:r w:rsidRPr="00EF48E5">
        <w:rPr>
          <w:rFonts w:eastAsia="Times New Roman"/>
          <w:lang w:val="es-419"/>
        </w:rPr>
        <w:t xml:space="preserve"> deberán prestar atención a este riesgo durante el diseño y la implementación de los subproyectos.</w:t>
      </w:r>
    </w:p>
    <w:p w14:paraId="027E551C" w14:textId="07D3557B" w:rsidR="00DA0DAE" w:rsidRPr="00EF48E5" w:rsidRDefault="004E48A5" w:rsidP="00DA0DAE">
      <w:pPr>
        <w:keepNext/>
        <w:jc w:val="both"/>
        <w:rPr>
          <w:b/>
          <w:bCs/>
          <w:lang w:val="es-419"/>
        </w:rPr>
      </w:pPr>
      <w:r>
        <w:rPr>
          <w:b/>
          <w:bCs/>
          <w:lang w:val="es-419"/>
        </w:rPr>
        <w:t>P</w:t>
      </w:r>
      <w:r w:rsidR="00DA0DAE" w:rsidRPr="00EF48E5">
        <w:rPr>
          <w:b/>
          <w:bCs/>
          <w:lang w:val="es-419"/>
        </w:rPr>
        <w:t>ersonas LGBTI</w:t>
      </w:r>
    </w:p>
    <w:p w14:paraId="4393D63C" w14:textId="1D195443" w:rsidR="00DA0DAE" w:rsidRPr="00EF48E5" w:rsidRDefault="00DA0DAE" w:rsidP="00DA0DAE">
      <w:pPr>
        <w:jc w:val="both"/>
        <w:rPr>
          <w:lang w:val="es-419"/>
        </w:rPr>
      </w:pPr>
      <w:r w:rsidRPr="00EF48E5">
        <w:rPr>
          <w:lang w:val="es-419"/>
        </w:rPr>
        <w:t xml:space="preserve">Las personas LGBTI son particularmente vulnerables en el Caribe. Debido a que es más probable que sufran discriminación, corren un mayor riesgo de exclusión social con respecto a las actividades y los beneficios del proyecto. Ninguno de los países del proyecto cuenta con leyes contra la discriminación por orientación sexual y, en cuatro países, la actividad sexual entre personas del mismo sexo está penalizada. También hay altos niveles de violencia homofóbica y transfóbica en varios países del proyecto, particularmente en Jamaica. Estos factores plantean cuestiones sobre cómo identificar a las personas LGBTI, sin ponerlas en riesgo de discriminación, enjuiciamiento o violencia. Se requerirá que los </w:t>
      </w:r>
      <w:proofErr w:type="spellStart"/>
      <w:r w:rsidRPr="00EF48E5">
        <w:rPr>
          <w:lang w:val="es-419"/>
        </w:rPr>
        <w:t>sub-beneficiarios</w:t>
      </w:r>
      <w:proofErr w:type="spellEnd"/>
      <w:r w:rsidRPr="00EF48E5">
        <w:rPr>
          <w:lang w:val="es-419"/>
        </w:rPr>
        <w:t xml:space="preserve"> realicen un mapeo de las partes interesadas con delicadeza y que implementen medidas para garantizar la confidencialidad de la información de identificación personal.</w:t>
      </w:r>
    </w:p>
    <w:p w14:paraId="198E8515" w14:textId="77777777" w:rsidR="00DA0DAE" w:rsidRPr="00EF48E5" w:rsidRDefault="00DA0DAE" w:rsidP="00DA0DAE">
      <w:pPr>
        <w:jc w:val="both"/>
        <w:rPr>
          <w:b/>
          <w:bCs/>
          <w:lang w:val="es-419"/>
        </w:rPr>
      </w:pPr>
      <w:r w:rsidRPr="00EF48E5">
        <w:rPr>
          <w:b/>
          <w:bCs/>
          <w:lang w:val="es-419"/>
        </w:rPr>
        <w:t>Personas con discapacidades</w:t>
      </w:r>
    </w:p>
    <w:p w14:paraId="0B943379" w14:textId="09EDFDE4" w:rsidR="00DA0DAE" w:rsidRPr="00EF48E5" w:rsidRDefault="00DA0DAE" w:rsidP="00DA0DAE">
      <w:pPr>
        <w:jc w:val="both"/>
        <w:rPr>
          <w:lang w:val="es-419"/>
        </w:rPr>
      </w:pPr>
      <w:r w:rsidRPr="00EF48E5">
        <w:rPr>
          <w:lang w:val="es-419"/>
        </w:rPr>
        <w:t xml:space="preserve">Se estima que el 15 por ciento de la población de los países del proyecto vive con discapacidades. Las personas con discapacidad son desproporcionadamente vulnerables a los efectos de la degradación ambiental y el cambio climático. Por ejemplo, son menos capaces de buscar refugio de los fenómenos meteorológicos extremos o de participar en determinadas actividades de subsistencia. Las personas con discapacidad también tienen más probabilidades de tener un nivel educativo, resultados de salud, ingresos y niveles de empleo más bajos que las personas sin discapacidad. Los estudios muestran que las mujeres con discapacidad son cuatro veces más vulnerables a la violencia de género. Las personas con discapacidad también corren un mayor riesgo de discriminación y exclusión social. En este contexto, los </w:t>
      </w:r>
      <w:proofErr w:type="spellStart"/>
      <w:r w:rsidRPr="00EF48E5">
        <w:rPr>
          <w:lang w:val="es-419"/>
        </w:rPr>
        <w:lastRenderedPageBreak/>
        <w:t>sub-beneficiarios</w:t>
      </w:r>
      <w:proofErr w:type="spellEnd"/>
      <w:r w:rsidRPr="00EF48E5">
        <w:rPr>
          <w:lang w:val="es-419"/>
        </w:rPr>
        <w:t xml:space="preserve"> deben tener en cuenta a las personas con discapacidad y asegurarse de que no queden excluidas del acceso a </w:t>
      </w:r>
      <w:r w:rsidR="004E48A5">
        <w:rPr>
          <w:lang w:val="es-419"/>
        </w:rPr>
        <w:t xml:space="preserve">la </w:t>
      </w:r>
      <w:r w:rsidRPr="00EF48E5">
        <w:rPr>
          <w:lang w:val="es-419"/>
        </w:rPr>
        <w:t>capacitación, medios de vida alternativos, creación de empleo y otros beneficios del subproyecto. Esto requerirá prestar atención a cosas tales como la selección de lugares de capacitación que sean accesibles para sillas de ruedas y la difusión de información del proyecto a través de medios accesibles para personas con discapacidad auditiva y visual.</w:t>
      </w:r>
    </w:p>
    <w:p w14:paraId="4F876F50" w14:textId="77777777" w:rsidR="00DA0DAE" w:rsidRPr="00EF48E5" w:rsidRDefault="00DA0DAE" w:rsidP="00DA0DAE">
      <w:pPr>
        <w:jc w:val="both"/>
        <w:rPr>
          <w:b/>
          <w:bCs/>
          <w:lang w:val="es-419"/>
        </w:rPr>
      </w:pPr>
      <w:r w:rsidRPr="00EF48E5">
        <w:rPr>
          <w:b/>
          <w:bCs/>
          <w:lang w:val="es-419"/>
        </w:rPr>
        <w:t>Miembros de hogares pobres</w:t>
      </w:r>
    </w:p>
    <w:p w14:paraId="19C63F69" w14:textId="77777777" w:rsidR="00DA0DAE" w:rsidRPr="00EF48E5" w:rsidRDefault="00DA0DAE" w:rsidP="00DA0DAE">
      <w:pPr>
        <w:jc w:val="both"/>
        <w:rPr>
          <w:lang w:val="es-419"/>
        </w:rPr>
      </w:pPr>
      <w:r w:rsidRPr="00EF48E5">
        <w:rPr>
          <w:lang w:val="es-419"/>
        </w:rPr>
        <w:t>Como el país menos desarrollado de las Américas, Haití tiene la tasa de pobreza más alta entre los países del proyecto, con más de la mitad de la población viviendo por debajo de la línea de pobreza del ingreso nacional. Esta tasa es superior al 30 por ciento en República Dominicana y alrededor del 20 por ciento en los otros cinco países. La desigualdad de ingresos, o la brecha entre ricos y pobres, coexiste con altos niveles de pobreza, a pesar del estatus de ingresos altos y medios de la mayoría de los países del Caribe. El nivel de desigualdad, medido por el Coeficiente de Gini, es bastante significativo en algunos contextos nacionales, especialmente en Bahamas y Haití.</w:t>
      </w:r>
    </w:p>
    <w:p w14:paraId="657B4F79" w14:textId="0D856621" w:rsidR="00DA0DAE" w:rsidRPr="00EF48E5" w:rsidRDefault="00DA0DAE" w:rsidP="00DA0DAE">
      <w:pPr>
        <w:autoSpaceDE w:val="0"/>
        <w:autoSpaceDN w:val="0"/>
        <w:adjustRightInd w:val="0"/>
        <w:jc w:val="both"/>
        <w:rPr>
          <w:lang w:val="es-419"/>
        </w:rPr>
      </w:pPr>
      <w:r w:rsidRPr="00EF48E5">
        <w:rPr>
          <w:lang w:val="es-419"/>
        </w:rPr>
        <w:t xml:space="preserve">Los miembros de los hogares pobres son particularmente vulnerables a la degradación ambiental, debido a una mayor dependencia de los recursos naturales, fuentes de ingresos menos diversas y menos activos económicos. Al mismo tiempo, la pobreza puede ser un impulsor del uso insostenible de los recursos, como el uso de bosques o carbón derivado de manglares como combustible, o la invasión de cuencas hidrográficas y áreas boscosas para tierras agrícolas. Las acciones de conservación que no involucran a los hogares pobres corren el riesgo de exacerbar la degradación ambiental y afianzar la desigualdad. Por lo tanto, los </w:t>
      </w:r>
      <w:proofErr w:type="spellStart"/>
      <w:r w:rsidRPr="00EF48E5">
        <w:rPr>
          <w:lang w:val="es-419"/>
        </w:rPr>
        <w:t>sub-beneficiarios</w:t>
      </w:r>
      <w:proofErr w:type="spellEnd"/>
      <w:r w:rsidRPr="00EF48E5">
        <w:rPr>
          <w:lang w:val="es-419"/>
        </w:rPr>
        <w:t xml:space="preserve"> deben prestar especial atención a mitigar el riesgo de que la</w:t>
      </w:r>
      <w:r w:rsidR="004E48A5">
        <w:rPr>
          <w:lang w:val="es-419"/>
        </w:rPr>
        <w:t>s</w:t>
      </w:r>
      <w:r w:rsidRPr="00EF48E5">
        <w:rPr>
          <w:lang w:val="es-419"/>
        </w:rPr>
        <w:t xml:space="preserve"> élite</w:t>
      </w:r>
      <w:r w:rsidR="004E48A5">
        <w:rPr>
          <w:lang w:val="es-419"/>
        </w:rPr>
        <w:t>s</w:t>
      </w:r>
      <w:r w:rsidRPr="00EF48E5">
        <w:rPr>
          <w:lang w:val="es-419"/>
        </w:rPr>
        <w:t xml:space="preserve"> se apodere</w:t>
      </w:r>
      <w:r w:rsidR="004E48A5">
        <w:rPr>
          <w:lang w:val="es-419"/>
        </w:rPr>
        <w:t>n</w:t>
      </w:r>
      <w:r w:rsidRPr="00EF48E5">
        <w:rPr>
          <w:lang w:val="es-419"/>
        </w:rPr>
        <w:t xml:space="preserve"> de los beneficios del proyecto, que puede surgir cuando se considera que los hogares pobres tienen menos capacidad para participar en las actividades del subproyecto.</w:t>
      </w:r>
    </w:p>
    <w:p w14:paraId="46A4B4DD" w14:textId="77777777" w:rsidR="00DA0DAE" w:rsidRPr="00EF48E5" w:rsidRDefault="00DA0DAE" w:rsidP="00DA0DAE">
      <w:pPr>
        <w:jc w:val="both"/>
        <w:rPr>
          <w:b/>
          <w:bCs/>
          <w:lang w:val="es-419"/>
        </w:rPr>
      </w:pPr>
      <w:r w:rsidRPr="00EF48E5">
        <w:rPr>
          <w:b/>
          <w:bCs/>
          <w:lang w:val="es-419"/>
        </w:rPr>
        <w:t>Miembros de hogares sin tierra</w:t>
      </w:r>
    </w:p>
    <w:p w14:paraId="37BB6F4F" w14:textId="4D3D371B" w:rsidR="00DA0DAE" w:rsidRPr="00EF48E5" w:rsidRDefault="00DA0DAE" w:rsidP="00DA0DAE">
      <w:pPr>
        <w:jc w:val="both"/>
        <w:rPr>
          <w:lang w:val="es-419"/>
        </w:rPr>
      </w:pPr>
      <w:r w:rsidRPr="00EF48E5">
        <w:rPr>
          <w:lang w:val="es-419"/>
        </w:rPr>
        <w:t>Si bien existe una superposición significativa entre los hogares sin tierra y los hogares pobres, se considera</w:t>
      </w:r>
      <w:r w:rsidR="004E48A5">
        <w:rPr>
          <w:lang w:val="es-419"/>
        </w:rPr>
        <w:t>n</w:t>
      </w:r>
      <w:r w:rsidRPr="00EF48E5">
        <w:rPr>
          <w:lang w:val="es-419"/>
        </w:rPr>
        <w:t xml:space="preserve"> como un grupo separado porque hay consideraciones particulares que se aplican a ellos. Los miembros de los hogares sin tierra no poseen uno de los principales activos disponibles para los pobres de las zonas rurales: la tierra. Más bien, su principal activo económico es su trabajo. Además, sin tierra para usar como garantía, los miembros de los hogares sin tierra enfrentan una barrera adicional para acceder al crédito, incluido el microcrédito. En el contexto del proyecto, los miembros de los hogares sin tierra pueden correr un mayor riesgo de exclusión social si sus derechos de acceso o gestión de los recursos naturales se consideran menos legítimos porque no son propietarios de la tierra. Por lo tanto, los </w:t>
      </w:r>
      <w:proofErr w:type="spellStart"/>
      <w:r w:rsidRPr="00EF48E5">
        <w:rPr>
          <w:lang w:val="es-419"/>
        </w:rPr>
        <w:t>sub-beneficiarios</w:t>
      </w:r>
      <w:proofErr w:type="spellEnd"/>
      <w:r w:rsidRPr="00EF48E5">
        <w:rPr>
          <w:lang w:val="es-419"/>
        </w:rPr>
        <w:t xml:space="preserve"> deberán prestar especial atención a identificar e involucrar a los hogares sin tierra al diseñar e implementar actividades que desencadenen la aplicación del EAS 5 sobre adquisición de tierras, restricciones en el uso de la tierra y reasentamiento involuntario.</w:t>
      </w:r>
    </w:p>
    <w:p w14:paraId="2CA9E831" w14:textId="77777777" w:rsidR="00DA0DAE" w:rsidRPr="00EF48E5" w:rsidRDefault="00DA0DAE" w:rsidP="00DA0DAE">
      <w:pPr>
        <w:jc w:val="both"/>
        <w:rPr>
          <w:b/>
          <w:bCs/>
          <w:lang w:val="es-419"/>
        </w:rPr>
      </w:pPr>
      <w:r w:rsidRPr="00EF48E5">
        <w:rPr>
          <w:b/>
          <w:bCs/>
          <w:lang w:val="es-419"/>
        </w:rPr>
        <w:t>Cimarrones de Jamaica</w:t>
      </w:r>
    </w:p>
    <w:p w14:paraId="0D3D6603" w14:textId="1D61B915" w:rsidR="00DA0DAE" w:rsidRPr="00EF48E5" w:rsidRDefault="00DA0DAE" w:rsidP="00DA0DAE">
      <w:pPr>
        <w:jc w:val="both"/>
        <w:rPr>
          <w:lang w:val="es-419"/>
        </w:rPr>
      </w:pPr>
      <w:r w:rsidRPr="00EF48E5">
        <w:rPr>
          <w:lang w:val="es-419"/>
        </w:rPr>
        <w:t>Los cimarrones de Jamaica son descendientes de africanos esclavizados que escaparon y establecieron comunidades libres durante el período colonial. Los cimarrones de Jamaica han conservado costumbres y prácticas distintas. Hasta cierto punto, los cimarrones son autónomos y están separados de la cultura jamaicana dominante, y la ley jamaicana reconoce ciertos derechos de autogobierno y de tierras</w:t>
      </w:r>
      <w:r w:rsidR="00ED622F">
        <w:rPr>
          <w:lang w:val="es-419"/>
        </w:rPr>
        <w:t>.</w:t>
      </w:r>
      <w:r w:rsidRPr="00EF48E5">
        <w:rPr>
          <w:lang w:val="es-419"/>
        </w:rPr>
        <w:t xml:space="preserve"> Hay cuatro asentamientos cimarrones reconocidos oficialmente: </w:t>
      </w:r>
      <w:proofErr w:type="spellStart"/>
      <w:r w:rsidRPr="00EF48E5">
        <w:rPr>
          <w:lang w:val="es-419"/>
        </w:rPr>
        <w:t>Accompong</w:t>
      </w:r>
      <w:proofErr w:type="spellEnd"/>
      <w:r w:rsidRPr="00EF48E5">
        <w:rPr>
          <w:lang w:val="es-419"/>
        </w:rPr>
        <w:t xml:space="preserve"> Town; ciudad de Moore; </w:t>
      </w:r>
      <w:r w:rsidR="00BA436D">
        <w:rPr>
          <w:lang w:val="es-419"/>
        </w:rPr>
        <w:t>Charles Town;</w:t>
      </w:r>
      <w:r w:rsidRPr="00EF48E5">
        <w:rPr>
          <w:lang w:val="es-419"/>
        </w:rPr>
        <w:t xml:space="preserve"> y </w:t>
      </w:r>
      <w:proofErr w:type="spellStart"/>
      <w:r w:rsidRPr="00EF48E5">
        <w:rPr>
          <w:lang w:val="es-419"/>
        </w:rPr>
        <w:t>Scott</w:t>
      </w:r>
      <w:r w:rsidR="0025400F">
        <w:rPr>
          <w:lang w:val="es-419"/>
        </w:rPr>
        <w:t>’s</w:t>
      </w:r>
      <w:proofErr w:type="spellEnd"/>
      <w:r w:rsidR="0025400F">
        <w:rPr>
          <w:lang w:val="es-419"/>
        </w:rPr>
        <w:t xml:space="preserve"> Hall</w:t>
      </w:r>
      <w:r w:rsidRPr="00EF48E5">
        <w:rPr>
          <w:lang w:val="es-419"/>
        </w:rPr>
        <w:t xml:space="preserve">. El primero está ubicado dentro del sitio prioritario </w:t>
      </w:r>
      <w:proofErr w:type="spellStart"/>
      <w:r w:rsidRPr="00EF48E5">
        <w:rPr>
          <w:lang w:val="es-419"/>
        </w:rPr>
        <w:t>Cockpit</w:t>
      </w:r>
      <w:proofErr w:type="spellEnd"/>
      <w:r w:rsidRPr="00EF48E5">
        <w:rPr>
          <w:lang w:val="es-419"/>
        </w:rPr>
        <w:t xml:space="preserve"> Country; los últimos tres están ubicados en y alrededor del sitio prioritario del Patrimonio Nacional Protegido de las Montañas Azul y John </w:t>
      </w:r>
      <w:proofErr w:type="spellStart"/>
      <w:r w:rsidRPr="00EF48E5">
        <w:rPr>
          <w:lang w:val="es-419"/>
        </w:rPr>
        <w:t>Crow</w:t>
      </w:r>
      <w:proofErr w:type="spellEnd"/>
      <w:r w:rsidRPr="00EF48E5">
        <w:rPr>
          <w:lang w:val="es-419"/>
        </w:rPr>
        <w:t xml:space="preserve"> y sus alrededores. Los subproyectos en estos sitios deberán desarrollar estrategias particulares para involucrar a las comunidades cimarronas de Jamaica y estar especialmente atentos a la posibilidad de que los sitios de los subproyectos puedan tener un patrimonio cultural tangible o intangible que desencadene la aplicación del ESS</w:t>
      </w:r>
      <w:r w:rsidR="00ED622F">
        <w:rPr>
          <w:lang w:val="es-419"/>
        </w:rPr>
        <w:t xml:space="preserve"> </w:t>
      </w:r>
      <w:r w:rsidRPr="00EF48E5">
        <w:rPr>
          <w:lang w:val="es-419"/>
        </w:rPr>
        <w:t>8 sobre el patrimonio cultural.</w:t>
      </w:r>
    </w:p>
    <w:p w14:paraId="077F3C23" w14:textId="5E67EC09" w:rsidR="00DA0DAE" w:rsidRPr="00EF48E5" w:rsidRDefault="00ED622F" w:rsidP="00DA0DAE">
      <w:pPr>
        <w:jc w:val="both"/>
        <w:rPr>
          <w:b/>
          <w:bCs/>
          <w:lang w:val="es-419"/>
        </w:rPr>
      </w:pPr>
      <w:r>
        <w:rPr>
          <w:b/>
          <w:bCs/>
          <w:lang w:val="es-419"/>
        </w:rPr>
        <w:t>I</w:t>
      </w:r>
      <w:r w:rsidR="00DA0DAE" w:rsidRPr="00EF48E5">
        <w:rPr>
          <w:b/>
          <w:bCs/>
          <w:lang w:val="es-419"/>
        </w:rPr>
        <w:t>nmigrantes haitianos</w:t>
      </w:r>
    </w:p>
    <w:p w14:paraId="3106AE45" w14:textId="61483F2D" w:rsidR="00DA0DAE" w:rsidRPr="00EF48E5" w:rsidRDefault="00DA0DAE" w:rsidP="00710C7F">
      <w:pPr>
        <w:jc w:val="both"/>
        <w:rPr>
          <w:lang w:val="es-419"/>
        </w:rPr>
      </w:pPr>
      <w:r w:rsidRPr="00EF48E5">
        <w:rPr>
          <w:lang w:val="es-419"/>
        </w:rPr>
        <w:t xml:space="preserve">Hay una larga historia de inmigración de Haití a la República Dominicana, ya que las personas </w:t>
      </w:r>
      <w:r w:rsidR="00ED622F">
        <w:rPr>
          <w:lang w:val="es-419"/>
        </w:rPr>
        <w:t xml:space="preserve">han migrado </w:t>
      </w:r>
      <w:r w:rsidRPr="00EF48E5">
        <w:rPr>
          <w:lang w:val="es-419"/>
        </w:rPr>
        <w:t xml:space="preserve">desde Haití, un país relativamente pobre, a su vecino relativamente próspero en busca de empleo en los sectores de la agricultura y la construcción. La tasa de inmigración aumentó enormemente después del terremoto de Haití en 2010. Ahora se estima que hay alrededor de 2 millones de personas de origen haitiano viviendo en la República Dominicana, alrededor del 70 por ciento de los cuales han vivido allí por menos de 10 años. La gran mayoría de estas personas son indocumentadas, lo que les crea desafíos considerables para acceder a la educación y los servicios de salud, o para encontrar un empleo que no sea manual. Alrededor de dos tercios de los inmigrantes haitianos son hombres y las tres cuartas partes tienen </w:t>
      </w:r>
      <w:r w:rsidRPr="00EF48E5">
        <w:rPr>
          <w:lang w:val="es-419"/>
        </w:rPr>
        <w:lastRenderedPageBreak/>
        <w:t xml:space="preserve">entre 18 y 39 años. Las personas de origen haitiano se concentran en áreas a lo largo de la frontera internacional con Haití, especialmente en la provincia de Pedernales, donde hay una concentración de </w:t>
      </w:r>
      <w:r w:rsidR="00E01D7B">
        <w:rPr>
          <w:lang w:val="es-419"/>
        </w:rPr>
        <w:t>KBA</w:t>
      </w:r>
      <w:r w:rsidRPr="00EF48E5">
        <w:rPr>
          <w:lang w:val="es-419"/>
        </w:rPr>
        <w:t xml:space="preserve"> prioritarias. Los inmigrantes haitianos son objeto de discriminación y hay informes de actos de violencia dirigidos contra miembros de este grupo. Los </w:t>
      </w:r>
      <w:proofErr w:type="spellStart"/>
      <w:r w:rsidRPr="00EF48E5">
        <w:rPr>
          <w:lang w:val="es-419"/>
        </w:rPr>
        <w:t>sub-beneficiarios</w:t>
      </w:r>
      <w:proofErr w:type="spellEnd"/>
      <w:r w:rsidRPr="00EF48E5">
        <w:rPr>
          <w:lang w:val="es-419"/>
        </w:rPr>
        <w:t xml:space="preserve"> que diseñen e implementen subproyectos en áreas con inmigrantes haitianos deberán prestar especial atención a la mayor vulnerabilidad de este grupo. Una consideración particular es que los migrantes indocumentados que no poseen tierras y enfrentan incertidumbre sobre su futuro pueden estar menos interesados en participar en acciones de conservación a largo plazo basadas en el lugar.</w:t>
      </w:r>
    </w:p>
    <w:p w14:paraId="583F4A60" w14:textId="3A519A71" w:rsidR="001D5922" w:rsidRPr="00EF48E5" w:rsidRDefault="008A2777" w:rsidP="003D2806">
      <w:pPr>
        <w:pStyle w:val="Heading1"/>
        <w:numPr>
          <w:ilvl w:val="0"/>
          <w:numId w:val="1"/>
        </w:numPr>
        <w:rPr>
          <w:lang w:val="es-419"/>
        </w:rPr>
      </w:pPr>
      <w:bookmarkStart w:id="15" w:name="_Toc100398995"/>
      <w:r w:rsidRPr="00EF48E5">
        <w:rPr>
          <w:lang w:val="es-419"/>
        </w:rPr>
        <w:t>Programa de participación de las partes interesadas</w:t>
      </w:r>
      <w:bookmarkEnd w:id="15"/>
      <w:r w:rsidRPr="00EF48E5">
        <w:rPr>
          <w:lang w:val="es-419"/>
        </w:rPr>
        <w:t xml:space="preserve"> </w:t>
      </w:r>
    </w:p>
    <w:p w14:paraId="1834E84F" w14:textId="40C0EB6D" w:rsidR="001D5922" w:rsidRPr="00EF48E5" w:rsidRDefault="001D5922" w:rsidP="001D5922">
      <w:pPr>
        <w:spacing w:after="0"/>
        <w:jc w:val="both"/>
        <w:rPr>
          <w:rFonts w:cstheme="minorHAnsi"/>
          <w:lang w:val="es-419"/>
        </w:rPr>
      </w:pPr>
    </w:p>
    <w:p w14:paraId="7639CBEC" w14:textId="4C23D817" w:rsidR="00B31F0C" w:rsidRPr="00EF48E5" w:rsidRDefault="001D5922" w:rsidP="00370B09">
      <w:pPr>
        <w:spacing w:after="0"/>
        <w:jc w:val="both"/>
        <w:rPr>
          <w:lang w:val="es-419"/>
        </w:rPr>
      </w:pPr>
      <w:r w:rsidRPr="00EF48E5">
        <w:rPr>
          <w:rFonts w:cstheme="minorHAnsi"/>
          <w:lang w:val="es-419"/>
        </w:rPr>
        <w:t xml:space="preserve">Dentro de los primeros tres meses del proyecto, CANARI desarrollará una estrategia de participación y comunicación que guiará cómo el RIT involucrará a las partes interesadas a lo largo del ciclo de vida del proyecto. Los métodos de participación se adaptarán a cada grupo de partes interesadas. </w:t>
      </w:r>
      <w:r w:rsidR="00370B09" w:rsidRPr="00EF48E5">
        <w:rPr>
          <w:lang w:val="es-419"/>
        </w:rPr>
        <w:t xml:space="preserve">Se implementará un lanzamiento virtual de la inversión en el </w:t>
      </w:r>
      <w:proofErr w:type="spellStart"/>
      <w:r w:rsidR="00ED622F">
        <w:rPr>
          <w:lang w:val="es-419"/>
        </w:rPr>
        <w:t>hotspot</w:t>
      </w:r>
      <w:proofErr w:type="spellEnd"/>
      <w:r w:rsidR="00370B09" w:rsidRPr="00EF48E5">
        <w:rPr>
          <w:lang w:val="es-419"/>
        </w:rPr>
        <w:t xml:space="preserve">, incluso a través de seminarios web, el sitio web de CANARI, las redes sociales y otras plataformas digitales, la radio, etc. El RIT desarrollará, traducirá (al francés y al español) y difundirá una gama de productos de comunicación para las partes interesadas para garantizar que la información clave proporcionada en el perfil del ecosistema sea accesible, para compartir las lecciones aprendidas y las mejores prácticas y para resaltar las historias y los resultados de los beneficiarios y la cartera en general (los productos de comunicación pueden incluir comunicados de prensa, videos, GIS </w:t>
      </w:r>
      <w:proofErr w:type="spellStart"/>
      <w:r w:rsidR="00370B09" w:rsidRPr="00EF48E5">
        <w:rPr>
          <w:lang w:val="es-419"/>
        </w:rPr>
        <w:t>Story</w:t>
      </w:r>
      <w:proofErr w:type="spellEnd"/>
      <w:r w:rsidR="00370B09" w:rsidRPr="00EF48E5">
        <w:rPr>
          <w:lang w:val="es-419"/>
        </w:rPr>
        <w:t xml:space="preserve"> </w:t>
      </w:r>
      <w:proofErr w:type="spellStart"/>
      <w:r w:rsidR="00370B09" w:rsidRPr="00EF48E5">
        <w:rPr>
          <w:lang w:val="es-419"/>
        </w:rPr>
        <w:t>Maps</w:t>
      </w:r>
      <w:proofErr w:type="spellEnd"/>
      <w:r w:rsidR="00370B09" w:rsidRPr="00EF48E5">
        <w:rPr>
          <w:lang w:val="es-419"/>
        </w:rPr>
        <w:t>, publicaciones en redes sociales</w:t>
      </w:r>
      <w:r w:rsidR="006457CD">
        <w:rPr>
          <w:lang w:val="es-419"/>
        </w:rPr>
        <w:t>,</w:t>
      </w:r>
      <w:r w:rsidR="00370B09" w:rsidRPr="00EF48E5">
        <w:rPr>
          <w:lang w:val="es-419"/>
        </w:rPr>
        <w:t xml:space="preserve"> foto-revistas, podcasts, etc.). El RIT desarrollará una página web en el sitio web de CANARI que sirva como una fuente clave de información para todas las partes interesadas, incluidos los solicitantes, beneficiarios, donantes y otros socios. Esta página web y las plataformas de redes sociales de CANARI facilitarán las comunicaciones entre los concesionarios y la página web, en particular, servirá como depósito para los informes de los concesionarios y la información de puntos de acceso. El RIT apoyará a la Secretaría del CEPF en los esfuerzos para satisfacer las necesidades de comunicación global del CEPF.</w:t>
      </w:r>
    </w:p>
    <w:p w14:paraId="0167E8B3" w14:textId="77777777" w:rsidR="00D65158" w:rsidRPr="00EF48E5" w:rsidRDefault="00D65158" w:rsidP="00370B09">
      <w:pPr>
        <w:spacing w:after="0"/>
        <w:jc w:val="both"/>
        <w:rPr>
          <w:rFonts w:cstheme="minorHAnsi"/>
          <w:lang w:val="es-419"/>
        </w:rPr>
      </w:pPr>
    </w:p>
    <w:p w14:paraId="5F59DC2E" w14:textId="0CAE831E" w:rsidR="00B31F0C" w:rsidRPr="00EF48E5" w:rsidRDefault="00B31F0C" w:rsidP="002910CC">
      <w:pPr>
        <w:spacing w:after="0"/>
        <w:jc w:val="both"/>
        <w:rPr>
          <w:lang w:val="es-419"/>
        </w:rPr>
      </w:pPr>
      <w:r w:rsidRPr="00EF48E5">
        <w:rPr>
          <w:lang w:val="es-419"/>
        </w:rPr>
        <w:t xml:space="preserve">El RIT será responsable de la concesión de pequeñas subvenciones (máximo de US$50.000) para apoyar subproyectos implementados por OSC bajo la supervisión del RIT. Además, el RIT apoyará a la Secretaría del CEPF </w:t>
      </w:r>
      <w:r w:rsidR="002910CC" w:rsidRPr="00EF48E5">
        <w:rPr>
          <w:rStyle w:val="Strong"/>
          <w:b w:val="0"/>
          <w:bCs w:val="0"/>
          <w:lang w:val="es-419"/>
        </w:rPr>
        <w:t xml:space="preserve">con la solicitud, adjudicación y seguimiento de grandes donaciones. </w:t>
      </w:r>
      <w:r w:rsidRPr="00EF48E5">
        <w:rPr>
          <w:lang w:val="es-419"/>
        </w:rPr>
        <w:t xml:space="preserve">A través de estos subproyectos, las OSC implementarán acciones de conservación en y alrededor de las </w:t>
      </w:r>
      <w:r w:rsidR="00E01D7B">
        <w:rPr>
          <w:lang w:val="es-419"/>
        </w:rPr>
        <w:t>KBA</w:t>
      </w:r>
      <w:r w:rsidRPr="00EF48E5">
        <w:rPr>
          <w:lang w:val="es-419"/>
        </w:rPr>
        <w:t xml:space="preserve"> prioritarias. Estas acciones de conservación comprenden la mayor parte de las actividades del proyecto que podrían tener diversos grados de riesgos e impactos ambientales y sociales</w:t>
      </w:r>
      <w:r w:rsidR="00C87E65" w:rsidRPr="00EF48E5">
        <w:rPr>
          <w:rStyle w:val="FootnoteReference"/>
          <w:lang w:val="es-419"/>
        </w:rPr>
        <w:footnoteReference w:id="2"/>
      </w:r>
      <w:r w:rsidRPr="00EF48E5">
        <w:rPr>
          <w:lang w:val="es-419"/>
        </w:rPr>
        <w:t xml:space="preserve">. De acuerdo con el ESMF para el proyecto, todos los </w:t>
      </w:r>
      <w:proofErr w:type="spellStart"/>
      <w:r w:rsidRPr="00EF48E5">
        <w:rPr>
          <w:lang w:val="es-419"/>
        </w:rPr>
        <w:t>sub-beneficiarios</w:t>
      </w:r>
      <w:proofErr w:type="spellEnd"/>
      <w:r w:rsidRPr="00EF48E5">
        <w:rPr>
          <w:lang w:val="es-419"/>
        </w:rPr>
        <w:t xml:space="preserve"> deberán preparar un SEP a nivel de subproyecto, incluido un mecanismo de reparación de quejas (GRM) para las partes interesadas. El SEP debe ser proporcional al alcance y nivel de riesgo del subproyecto. Debe identificar a las diferentes partes interesadas y describir cómo se llevará a cabo el compromiso con cada una. El SEP también detalla cómo el </w:t>
      </w:r>
      <w:proofErr w:type="spellStart"/>
      <w:r w:rsidRPr="00EF48E5">
        <w:rPr>
          <w:lang w:val="es-419"/>
        </w:rPr>
        <w:t>sub-beneficiario</w:t>
      </w:r>
      <w:proofErr w:type="spellEnd"/>
      <w:r w:rsidRPr="00EF48E5">
        <w:rPr>
          <w:lang w:val="es-419"/>
        </w:rPr>
        <w:t xml:space="preserve"> monitoreará y evaluará la efectividad de sus actividades de participación de las partes interesadas.</w:t>
      </w:r>
    </w:p>
    <w:p w14:paraId="6AD9AE73" w14:textId="77777777" w:rsidR="00372477" w:rsidRPr="00EF48E5" w:rsidRDefault="00372477" w:rsidP="002910CC">
      <w:pPr>
        <w:spacing w:after="0"/>
        <w:jc w:val="both"/>
        <w:rPr>
          <w:lang w:val="es-419"/>
        </w:rPr>
      </w:pPr>
    </w:p>
    <w:p w14:paraId="1560A934" w14:textId="3F0EBBF7" w:rsidR="00B31F0C" w:rsidRPr="00EF48E5" w:rsidRDefault="00B31F0C" w:rsidP="00B31F0C">
      <w:pPr>
        <w:jc w:val="both"/>
        <w:rPr>
          <w:lang w:val="es-419"/>
        </w:rPr>
      </w:pPr>
      <w:r w:rsidRPr="00EF48E5">
        <w:rPr>
          <w:lang w:val="es-419"/>
        </w:rPr>
        <w:t xml:space="preserve">Las etapas del ciclo de vida de cada subproyecto en las que se realizarán las consultas y el marco de tiempo se definirán en los SEP a nivel de subproyecto, que se desarrollarán antes de la aprobación de cada </w:t>
      </w:r>
      <w:r w:rsidR="00C87E65">
        <w:rPr>
          <w:lang w:val="es-419"/>
        </w:rPr>
        <w:t>subvención secundaria</w:t>
      </w:r>
      <w:r w:rsidRPr="00EF48E5">
        <w:rPr>
          <w:lang w:val="es-419"/>
        </w:rPr>
        <w:t>.</w:t>
      </w:r>
    </w:p>
    <w:p w14:paraId="3847F739" w14:textId="501BFD39" w:rsidR="00B31F0C" w:rsidRPr="00EF48E5" w:rsidRDefault="00941BE0" w:rsidP="00B31F0C">
      <w:pPr>
        <w:jc w:val="both"/>
        <w:rPr>
          <w:lang w:val="es-419"/>
        </w:rPr>
      </w:pPr>
      <w:r w:rsidRPr="00EF48E5">
        <w:rPr>
          <w:lang w:val="es-419"/>
        </w:rPr>
        <w:t xml:space="preserve">La consulta y preparación de los instrumentos ESF a nivel de </w:t>
      </w:r>
      <w:proofErr w:type="spellStart"/>
      <w:r w:rsidRPr="00EF48E5">
        <w:rPr>
          <w:lang w:val="es-419"/>
        </w:rPr>
        <w:t>sub-beneficiario</w:t>
      </w:r>
      <w:proofErr w:type="spellEnd"/>
      <w:r w:rsidRPr="00EF48E5">
        <w:rPr>
          <w:lang w:val="es-419"/>
        </w:rPr>
        <w:t>, incluida la preparación del SEP a nivel de subproyecto, se llevará a cabo durante la preparación del subproyecto y durante los tres meses anteriores al inicio de los subproyectos.</w:t>
      </w:r>
    </w:p>
    <w:p w14:paraId="3BE41C8D" w14:textId="53901EB1" w:rsidR="00B31F0C" w:rsidRPr="00EF48E5" w:rsidRDefault="00B31F0C" w:rsidP="00B31F0C">
      <w:pPr>
        <w:jc w:val="both"/>
        <w:rPr>
          <w:lang w:val="es-419"/>
        </w:rPr>
      </w:pPr>
      <w:r w:rsidRPr="00EF48E5">
        <w:rPr>
          <w:lang w:val="es-419"/>
        </w:rPr>
        <w:t xml:space="preserve">A nivel de proyecto y </w:t>
      </w:r>
      <w:proofErr w:type="spellStart"/>
      <w:r w:rsidRPr="00EF48E5">
        <w:rPr>
          <w:lang w:val="es-419"/>
        </w:rPr>
        <w:t>sub-beneficiario</w:t>
      </w:r>
      <w:proofErr w:type="spellEnd"/>
      <w:r w:rsidRPr="00EF48E5">
        <w:rPr>
          <w:lang w:val="es-419"/>
        </w:rPr>
        <w:t xml:space="preserve">, las consultas se llevarán a cabo de forma continua y durante todo el ciclo de vida del proyecto. Los temas principales serán la implementación y resultados de los instrumentos ESS relevantes para el proyecto, promoción y funcionamiento del GRM, aspectos de </w:t>
      </w:r>
      <w:r w:rsidR="00C87E65">
        <w:rPr>
          <w:lang w:val="es-419"/>
        </w:rPr>
        <w:t>i</w:t>
      </w:r>
      <w:r w:rsidRPr="00EF48E5">
        <w:rPr>
          <w:lang w:val="es-419"/>
        </w:rPr>
        <w:t xml:space="preserve">nclusión </w:t>
      </w:r>
      <w:r w:rsidR="00C87E65">
        <w:rPr>
          <w:lang w:val="es-419"/>
        </w:rPr>
        <w:t>s</w:t>
      </w:r>
      <w:r w:rsidRPr="00EF48E5">
        <w:rPr>
          <w:lang w:val="es-419"/>
        </w:rPr>
        <w:t>ocial, resultados y oportunidades de mejora, entre otros.</w:t>
      </w:r>
    </w:p>
    <w:p w14:paraId="57F00846" w14:textId="7267BB2F" w:rsidR="008A2777" w:rsidRPr="00EF48E5" w:rsidRDefault="00B31F0C" w:rsidP="00C87E65">
      <w:pPr>
        <w:spacing w:after="0"/>
        <w:jc w:val="both"/>
        <w:rPr>
          <w:rFonts w:cstheme="minorHAnsi"/>
          <w:lang w:val="es-419"/>
        </w:rPr>
      </w:pPr>
      <w:r w:rsidRPr="00EF48E5">
        <w:rPr>
          <w:lang w:val="es-419"/>
        </w:rPr>
        <w:t xml:space="preserve">El RIT, en el caso de </w:t>
      </w:r>
      <w:proofErr w:type="spellStart"/>
      <w:r w:rsidRPr="00EF48E5">
        <w:rPr>
          <w:lang w:val="es-419"/>
        </w:rPr>
        <w:t>sub</w:t>
      </w:r>
      <w:r w:rsidR="008131BB">
        <w:rPr>
          <w:lang w:val="es-419"/>
        </w:rPr>
        <w:t>-</w:t>
      </w:r>
      <w:r w:rsidRPr="00EF48E5">
        <w:rPr>
          <w:lang w:val="es-419"/>
        </w:rPr>
        <w:t>donaciones</w:t>
      </w:r>
      <w:proofErr w:type="spellEnd"/>
      <w:r w:rsidRPr="00EF48E5">
        <w:rPr>
          <w:lang w:val="es-419"/>
        </w:rPr>
        <w:t xml:space="preserve"> de hasta $50,000, proporcionará a cada </w:t>
      </w:r>
      <w:proofErr w:type="spellStart"/>
      <w:r w:rsidRPr="00EF48E5">
        <w:rPr>
          <w:lang w:val="es-419"/>
        </w:rPr>
        <w:t>sub-beneficiario</w:t>
      </w:r>
      <w:proofErr w:type="spellEnd"/>
      <w:r w:rsidRPr="00EF48E5">
        <w:rPr>
          <w:lang w:val="es-419"/>
        </w:rPr>
        <w:t xml:space="preserve"> una copia del ESS</w:t>
      </w:r>
      <w:r w:rsidR="00C87E65">
        <w:rPr>
          <w:lang w:val="es-419"/>
        </w:rPr>
        <w:t xml:space="preserve"> </w:t>
      </w:r>
      <w:r w:rsidRPr="00EF48E5">
        <w:rPr>
          <w:lang w:val="es-419"/>
        </w:rPr>
        <w:t xml:space="preserve">10 del sitio web del Banco Mundial, junto con una nota de orientación interna sobre la aplicación de este estándar en el contexto del proyecto CEPF. Los </w:t>
      </w:r>
      <w:proofErr w:type="spellStart"/>
      <w:r w:rsidRPr="00EF48E5">
        <w:rPr>
          <w:lang w:val="es-419"/>
        </w:rPr>
        <w:t>sub-beneficiarios</w:t>
      </w:r>
      <w:proofErr w:type="spellEnd"/>
      <w:r w:rsidRPr="00EF48E5">
        <w:rPr>
          <w:lang w:val="es-419"/>
        </w:rPr>
        <w:t xml:space="preserve"> también recibirán una plantilla para el SEP a nivel de subproyecto (Anexo 2), junto con ejemplos resueltos. Se pondrá a disposición una plantilla simplificada para subproyectos de bajo riesgo (Anexo 3). Los </w:t>
      </w:r>
      <w:proofErr w:type="spellStart"/>
      <w:r w:rsidRPr="00EF48E5">
        <w:rPr>
          <w:lang w:val="es-419"/>
        </w:rPr>
        <w:t>sub-beneficiarios</w:t>
      </w:r>
      <w:proofErr w:type="spellEnd"/>
      <w:r w:rsidRPr="00EF48E5">
        <w:rPr>
          <w:lang w:val="es-419"/>
        </w:rPr>
        <w:t xml:space="preserve"> tendrán la opción de preparar el SEP en inglés, francés o español</w:t>
      </w:r>
      <w:r w:rsidR="00C87E65">
        <w:rPr>
          <w:lang w:val="es-419"/>
        </w:rPr>
        <w:t>.</w:t>
      </w:r>
      <w:r w:rsidRPr="00EF48E5">
        <w:rPr>
          <w:lang w:val="es-419"/>
        </w:rPr>
        <w:t xml:space="preserve"> Las plantillas en los tres idiomas estarán disponibles en la página web de CEPF Caribe del sitio web de CANARI.</w:t>
      </w:r>
    </w:p>
    <w:p w14:paraId="11AE763F" w14:textId="77777777" w:rsidR="008B2B0A" w:rsidRPr="00EF48E5" w:rsidRDefault="008A2777" w:rsidP="003D2806">
      <w:pPr>
        <w:pStyle w:val="Heading1"/>
        <w:numPr>
          <w:ilvl w:val="0"/>
          <w:numId w:val="1"/>
        </w:numPr>
        <w:rPr>
          <w:lang w:val="es-419"/>
        </w:rPr>
      </w:pPr>
      <w:bookmarkStart w:id="16" w:name="_Toc100398996"/>
      <w:r w:rsidRPr="00EF48E5">
        <w:rPr>
          <w:lang w:val="es-419"/>
        </w:rPr>
        <w:lastRenderedPageBreak/>
        <w:t>Métodos de consulta</w:t>
      </w:r>
      <w:bookmarkEnd w:id="16"/>
    </w:p>
    <w:p w14:paraId="501280B6" w14:textId="77777777" w:rsidR="008B2B0A" w:rsidRPr="00EF48E5" w:rsidRDefault="008B2B0A" w:rsidP="008B2B0A">
      <w:pPr>
        <w:spacing w:after="0"/>
        <w:jc w:val="both"/>
        <w:rPr>
          <w:rFonts w:cstheme="minorHAnsi"/>
          <w:lang w:val="es-419"/>
        </w:rPr>
      </w:pPr>
    </w:p>
    <w:p w14:paraId="3C6A6F6F" w14:textId="536B48C2" w:rsidR="00E969BB" w:rsidRPr="00EF48E5" w:rsidRDefault="00C4476B" w:rsidP="008B2B0A">
      <w:pPr>
        <w:spacing w:after="0"/>
        <w:jc w:val="both"/>
        <w:rPr>
          <w:lang w:val="es-419"/>
        </w:rPr>
      </w:pPr>
      <w:r w:rsidRPr="00EF48E5">
        <w:rPr>
          <w:rFonts w:cstheme="minorHAnsi"/>
          <w:lang w:val="es-419"/>
        </w:rPr>
        <w:t xml:space="preserve">Los detalles de los métodos de consulta y participación que se utilizarán para cada grupo de partes interesadas identificado en el proyecto se describirán en la estrategia de participación y comunicación de RIT, que se desarrollará dentro de los primeros tres meses del proyecto. Al desarrollar esta estrategia, </w:t>
      </w:r>
      <w:r w:rsidR="00AA176A" w:rsidRPr="00EF48E5">
        <w:rPr>
          <w:lang w:val="es-419"/>
        </w:rPr>
        <w:t>el RIT llevará a cabo un ejercicio de identificación y análisis de las partes interesadas que analizará las siguientes áreas:</w:t>
      </w:r>
    </w:p>
    <w:p w14:paraId="2FB79391" w14:textId="77777777" w:rsidR="00E969BB" w:rsidRPr="00EF48E5" w:rsidRDefault="00E969BB" w:rsidP="00E969BB">
      <w:pPr>
        <w:pStyle w:val="ListParagraph"/>
        <w:numPr>
          <w:ilvl w:val="0"/>
          <w:numId w:val="17"/>
        </w:numPr>
        <w:spacing w:after="0" w:line="240" w:lineRule="auto"/>
        <w:rPr>
          <w:lang w:val="es-419"/>
        </w:rPr>
      </w:pPr>
      <w:r w:rsidRPr="00EF48E5">
        <w:rPr>
          <w:lang w:val="es-419"/>
        </w:rPr>
        <w:t>Derechos, deberes e intereses</w:t>
      </w:r>
    </w:p>
    <w:p w14:paraId="30A4F3F3" w14:textId="05A42DB1" w:rsidR="00E969BB" w:rsidRPr="00EF48E5" w:rsidRDefault="00E969BB" w:rsidP="00E969BB">
      <w:pPr>
        <w:pStyle w:val="ListParagraph"/>
        <w:numPr>
          <w:ilvl w:val="0"/>
          <w:numId w:val="17"/>
        </w:numPr>
        <w:spacing w:after="0" w:line="240" w:lineRule="auto"/>
        <w:rPr>
          <w:lang w:val="es-419"/>
        </w:rPr>
      </w:pPr>
      <w:r w:rsidRPr="00EF48E5">
        <w:rPr>
          <w:lang w:val="es-419"/>
        </w:rPr>
        <w:t>Cómo pueden contribuir las partes interesadas, cómo se verán afectados y cómo podrían afectar negativamente al proyecto</w:t>
      </w:r>
    </w:p>
    <w:p w14:paraId="432F75B0" w14:textId="77777777" w:rsidR="00E969BB" w:rsidRPr="00EF48E5" w:rsidRDefault="00E969BB" w:rsidP="00E969BB">
      <w:pPr>
        <w:pStyle w:val="ListParagraph"/>
        <w:numPr>
          <w:ilvl w:val="0"/>
          <w:numId w:val="17"/>
        </w:numPr>
        <w:spacing w:after="0" w:line="240" w:lineRule="auto"/>
        <w:rPr>
          <w:lang w:val="es-419"/>
        </w:rPr>
      </w:pPr>
      <w:proofErr w:type="gramStart"/>
      <w:r w:rsidRPr="00EF48E5">
        <w:rPr>
          <w:lang w:val="es-419"/>
        </w:rPr>
        <w:t>Conflictos potenciales a ser manejados</w:t>
      </w:r>
      <w:proofErr w:type="gramEnd"/>
      <w:r w:rsidRPr="00EF48E5">
        <w:rPr>
          <w:lang w:val="es-419"/>
        </w:rPr>
        <w:t xml:space="preserve"> entre las partes interesadas</w:t>
      </w:r>
    </w:p>
    <w:p w14:paraId="0EC2B490" w14:textId="70FEB8F5" w:rsidR="00E969BB" w:rsidRPr="00EF48E5" w:rsidRDefault="00E969BB" w:rsidP="00E969BB">
      <w:pPr>
        <w:pStyle w:val="ListParagraph"/>
        <w:numPr>
          <w:ilvl w:val="0"/>
          <w:numId w:val="17"/>
        </w:numPr>
        <w:spacing w:after="0" w:line="240" w:lineRule="auto"/>
        <w:rPr>
          <w:lang w:val="es-419"/>
        </w:rPr>
      </w:pPr>
      <w:r w:rsidRPr="00EF48E5">
        <w:rPr>
          <w:lang w:val="es-419"/>
        </w:rPr>
        <w:t>Capacidades y necesidades de capacidad</w:t>
      </w:r>
    </w:p>
    <w:p w14:paraId="660322F7" w14:textId="21615A43" w:rsidR="003474E0" w:rsidRPr="00EF48E5" w:rsidRDefault="003474E0" w:rsidP="008B2B0A">
      <w:pPr>
        <w:spacing w:after="0"/>
        <w:jc w:val="both"/>
        <w:rPr>
          <w:lang w:val="es-419"/>
        </w:rPr>
      </w:pPr>
    </w:p>
    <w:p w14:paraId="2ED091D6" w14:textId="14CFACC4" w:rsidR="003474E0" w:rsidRPr="00EF48E5" w:rsidRDefault="003474E0" w:rsidP="008B2B0A">
      <w:pPr>
        <w:spacing w:after="0"/>
        <w:jc w:val="both"/>
        <w:rPr>
          <w:lang w:val="es-419"/>
        </w:rPr>
      </w:pPr>
      <w:r w:rsidRPr="00EF48E5">
        <w:rPr>
          <w:lang w:val="es-419"/>
        </w:rPr>
        <w:t>Los métodos que se utilizarán para consultar con cada uno de los grupos de partes interesadas identificados anteriormente se adaptarán en función de los hallazgos del análisis e incluirán (pero no se limitarán a) los descritos en la Tabla 2 a continuación.</w:t>
      </w:r>
    </w:p>
    <w:p w14:paraId="6F15BC37" w14:textId="63F03994" w:rsidR="003474E0" w:rsidRPr="00EF48E5" w:rsidRDefault="003474E0" w:rsidP="008B2B0A">
      <w:pPr>
        <w:spacing w:after="0"/>
        <w:jc w:val="both"/>
        <w:rPr>
          <w:rFonts w:cstheme="minorHAnsi"/>
          <w:lang w:val="es-419"/>
        </w:rPr>
      </w:pPr>
    </w:p>
    <w:p w14:paraId="11DDE1D6" w14:textId="0F00F76D" w:rsidR="003B17EF" w:rsidRPr="00EF48E5" w:rsidRDefault="003B17EF" w:rsidP="008B2B0A">
      <w:pPr>
        <w:spacing w:after="0"/>
        <w:jc w:val="both"/>
        <w:rPr>
          <w:rFonts w:cstheme="minorHAnsi"/>
          <w:b/>
          <w:bCs/>
          <w:lang w:val="es-419"/>
        </w:rPr>
      </w:pPr>
      <w:r w:rsidRPr="00EF48E5">
        <w:rPr>
          <w:rFonts w:cstheme="minorHAnsi"/>
          <w:b/>
          <w:bCs/>
          <w:lang w:val="es-419"/>
        </w:rPr>
        <w:t>Tabla 2: Métodos que se utilizarán para consultar e involucrar a cada grupo de partes interesadas</w:t>
      </w:r>
    </w:p>
    <w:tbl>
      <w:tblPr>
        <w:tblStyle w:val="TableGrid"/>
        <w:tblW w:w="0" w:type="auto"/>
        <w:tblLook w:val="04A0" w:firstRow="1" w:lastRow="0" w:firstColumn="1" w:lastColumn="0" w:noHBand="0" w:noVBand="1"/>
      </w:tblPr>
      <w:tblGrid>
        <w:gridCol w:w="2263"/>
        <w:gridCol w:w="7087"/>
      </w:tblGrid>
      <w:tr w:rsidR="003B17EF" w:rsidRPr="00EF48E5" w14:paraId="48CF6166" w14:textId="77777777" w:rsidTr="002513C9">
        <w:trPr>
          <w:tblHeader/>
        </w:trPr>
        <w:tc>
          <w:tcPr>
            <w:tcW w:w="2263" w:type="dxa"/>
          </w:tcPr>
          <w:p w14:paraId="47A44C8E" w14:textId="440D81BA" w:rsidR="003B17EF" w:rsidRPr="00EF48E5" w:rsidRDefault="003B17EF" w:rsidP="003B17EF">
            <w:pPr>
              <w:jc w:val="both"/>
              <w:rPr>
                <w:rFonts w:cstheme="minorHAnsi"/>
                <w:b/>
                <w:bCs/>
                <w:lang w:val="es-419"/>
              </w:rPr>
            </w:pPr>
            <w:r w:rsidRPr="00EF48E5">
              <w:rPr>
                <w:rFonts w:cstheme="minorHAnsi"/>
                <w:b/>
                <w:bCs/>
                <w:lang w:val="es-419"/>
              </w:rPr>
              <w:t>Grupo de partes interesadas</w:t>
            </w:r>
          </w:p>
        </w:tc>
        <w:tc>
          <w:tcPr>
            <w:tcW w:w="7087" w:type="dxa"/>
          </w:tcPr>
          <w:p w14:paraId="0519C60C" w14:textId="6470A0D3" w:rsidR="003B17EF" w:rsidRPr="00EF48E5" w:rsidRDefault="003B17EF" w:rsidP="003B17EF">
            <w:pPr>
              <w:jc w:val="both"/>
              <w:rPr>
                <w:rFonts w:cstheme="minorHAnsi"/>
                <w:b/>
                <w:bCs/>
                <w:lang w:val="es-419"/>
              </w:rPr>
            </w:pPr>
            <w:r w:rsidRPr="00EF48E5">
              <w:rPr>
                <w:rFonts w:cstheme="minorHAnsi"/>
                <w:b/>
                <w:bCs/>
                <w:lang w:val="es-419"/>
              </w:rPr>
              <w:t>Métodos de consulta y participación</w:t>
            </w:r>
          </w:p>
        </w:tc>
      </w:tr>
      <w:tr w:rsidR="003B17EF" w:rsidRPr="00EF48E5" w14:paraId="3BEF8F1F" w14:textId="77777777" w:rsidTr="002D103D">
        <w:tc>
          <w:tcPr>
            <w:tcW w:w="2263" w:type="dxa"/>
          </w:tcPr>
          <w:p w14:paraId="56D851E2" w14:textId="542EBADB" w:rsidR="003B17EF" w:rsidRPr="00EF48E5" w:rsidRDefault="0074097D" w:rsidP="00F56619">
            <w:pPr>
              <w:rPr>
                <w:rFonts w:cstheme="minorHAnsi"/>
                <w:lang w:val="es-419"/>
              </w:rPr>
            </w:pPr>
            <w:r w:rsidRPr="00EF48E5">
              <w:rPr>
                <w:rFonts w:cstheme="minorHAnsi"/>
                <w:lang w:val="es-419"/>
              </w:rPr>
              <w:t>OSC locales</w:t>
            </w:r>
          </w:p>
        </w:tc>
        <w:tc>
          <w:tcPr>
            <w:tcW w:w="7087" w:type="dxa"/>
          </w:tcPr>
          <w:p w14:paraId="758EEB03" w14:textId="6CFE4AC4" w:rsidR="00783827" w:rsidRPr="00EF48E5" w:rsidRDefault="00C87E65" w:rsidP="00783827">
            <w:pPr>
              <w:pStyle w:val="ListParagraph"/>
              <w:numPr>
                <w:ilvl w:val="0"/>
                <w:numId w:val="18"/>
              </w:numPr>
              <w:spacing w:line="240" w:lineRule="auto"/>
              <w:rPr>
                <w:rFonts w:eastAsia="Cambria" w:cstheme="minorHAnsi"/>
                <w:lang w:val="es-419"/>
              </w:rPr>
            </w:pPr>
            <w:r>
              <w:rPr>
                <w:rFonts w:eastAsia="Cambria" w:cstheme="minorHAnsi"/>
                <w:lang w:val="es-419"/>
              </w:rPr>
              <w:t>C</w:t>
            </w:r>
            <w:r w:rsidR="00783827" w:rsidRPr="00EF48E5">
              <w:rPr>
                <w:rFonts w:eastAsia="Cambria" w:cstheme="minorHAnsi"/>
                <w:lang w:val="es-419"/>
              </w:rPr>
              <w:t>orreos electrónicos directos</w:t>
            </w:r>
          </w:p>
          <w:p w14:paraId="21A59FFA" w14:textId="0CE95CBB" w:rsidR="00783827" w:rsidRPr="00EF48E5" w:rsidRDefault="00783827" w:rsidP="00783827">
            <w:pPr>
              <w:pStyle w:val="ListParagraph"/>
              <w:numPr>
                <w:ilvl w:val="0"/>
                <w:numId w:val="18"/>
              </w:numPr>
              <w:spacing w:line="240" w:lineRule="auto"/>
              <w:rPr>
                <w:rFonts w:eastAsia="Cambria" w:cstheme="minorHAnsi"/>
                <w:lang w:val="es-419"/>
              </w:rPr>
            </w:pPr>
            <w:r w:rsidRPr="00EF48E5">
              <w:rPr>
                <w:rFonts w:eastAsia="Cambria" w:cstheme="minorHAnsi"/>
                <w:lang w:val="es-419"/>
              </w:rPr>
              <w:t xml:space="preserve">Reuniones </w:t>
            </w:r>
            <w:r w:rsidR="00C87E65">
              <w:rPr>
                <w:rFonts w:eastAsia="Cambria" w:cstheme="minorHAnsi"/>
                <w:lang w:val="es-419"/>
              </w:rPr>
              <w:t>en persona</w:t>
            </w:r>
          </w:p>
          <w:p w14:paraId="06DAD119" w14:textId="6A5B6B85" w:rsidR="00783827" w:rsidRPr="00EF48E5" w:rsidRDefault="00783827" w:rsidP="00783827">
            <w:pPr>
              <w:pStyle w:val="ListParagraph"/>
              <w:numPr>
                <w:ilvl w:val="0"/>
                <w:numId w:val="18"/>
              </w:numPr>
              <w:spacing w:line="240" w:lineRule="auto"/>
              <w:rPr>
                <w:rFonts w:eastAsia="Cambria" w:cstheme="minorHAnsi"/>
                <w:lang w:val="es-419"/>
              </w:rPr>
            </w:pPr>
            <w:r w:rsidRPr="00EF48E5">
              <w:rPr>
                <w:rFonts w:eastAsia="Cambria" w:cstheme="minorHAnsi"/>
                <w:lang w:val="es-419"/>
              </w:rPr>
              <w:t>Reuniones/llamadas virtuales y mensajes de WhatsApp</w:t>
            </w:r>
          </w:p>
          <w:p w14:paraId="13945B11" w14:textId="77777777" w:rsidR="00783827" w:rsidRPr="00EF48E5" w:rsidRDefault="00783827" w:rsidP="00783827">
            <w:pPr>
              <w:pStyle w:val="ListParagraph"/>
              <w:numPr>
                <w:ilvl w:val="0"/>
                <w:numId w:val="18"/>
              </w:numPr>
              <w:spacing w:line="240" w:lineRule="auto"/>
              <w:rPr>
                <w:rFonts w:eastAsia="Cambria" w:cstheme="minorHAnsi"/>
                <w:lang w:val="es-419"/>
              </w:rPr>
            </w:pPr>
            <w:r w:rsidRPr="00EF48E5">
              <w:rPr>
                <w:rFonts w:eastAsia="Cambria" w:cstheme="minorHAnsi"/>
                <w:lang w:val="es-419"/>
              </w:rPr>
              <w:t>Etiquetado de redes sociales</w:t>
            </w:r>
          </w:p>
          <w:p w14:paraId="3D764A62" w14:textId="77777777" w:rsidR="00783827" w:rsidRPr="00EF48E5" w:rsidRDefault="00783827" w:rsidP="00783827">
            <w:pPr>
              <w:pStyle w:val="ListParagraph"/>
              <w:numPr>
                <w:ilvl w:val="0"/>
                <w:numId w:val="18"/>
              </w:numPr>
              <w:spacing w:line="240" w:lineRule="auto"/>
              <w:rPr>
                <w:rFonts w:eastAsia="Cambria" w:cstheme="minorHAnsi"/>
                <w:lang w:val="es-419"/>
              </w:rPr>
            </w:pPr>
            <w:r w:rsidRPr="00EF48E5">
              <w:rPr>
                <w:rFonts w:eastAsia="Cambria" w:cstheme="minorHAnsi"/>
                <w:lang w:val="es-419"/>
              </w:rPr>
              <w:t>Publicación en servidores de listas del Caribe</w:t>
            </w:r>
          </w:p>
          <w:p w14:paraId="44049D95" w14:textId="12669722" w:rsidR="00783827" w:rsidRPr="00EF48E5" w:rsidRDefault="00C87E65" w:rsidP="00783827">
            <w:pPr>
              <w:pStyle w:val="ListParagraph"/>
              <w:numPr>
                <w:ilvl w:val="0"/>
                <w:numId w:val="18"/>
              </w:numPr>
              <w:spacing w:line="240" w:lineRule="auto"/>
              <w:rPr>
                <w:rFonts w:eastAsia="Cambria" w:cstheme="minorHAnsi"/>
                <w:lang w:val="es-419"/>
              </w:rPr>
            </w:pPr>
            <w:r>
              <w:rPr>
                <w:rFonts w:eastAsia="Cambria" w:cstheme="minorHAnsi"/>
                <w:lang w:val="es-419"/>
              </w:rPr>
              <w:t>P</w:t>
            </w:r>
            <w:r w:rsidR="00783827" w:rsidRPr="00EF48E5">
              <w:rPr>
                <w:rFonts w:eastAsia="Cambria" w:cstheme="minorHAnsi"/>
                <w:lang w:val="es-419"/>
              </w:rPr>
              <w:t>ágina web de CANARI</w:t>
            </w:r>
          </w:p>
          <w:p w14:paraId="0B4C74D3" w14:textId="2DC6EF4B" w:rsidR="003B17EF" w:rsidRPr="00EF48E5" w:rsidRDefault="00783827" w:rsidP="00783827">
            <w:pPr>
              <w:pStyle w:val="ListParagraph"/>
              <w:numPr>
                <w:ilvl w:val="0"/>
                <w:numId w:val="18"/>
              </w:numPr>
              <w:spacing w:line="240" w:lineRule="auto"/>
              <w:rPr>
                <w:rFonts w:eastAsia="Cambria" w:cstheme="minorHAnsi"/>
                <w:lang w:val="es-419"/>
              </w:rPr>
            </w:pPr>
            <w:r w:rsidRPr="00EF48E5">
              <w:rPr>
                <w:rFonts w:eastAsia="Cambria" w:cstheme="minorHAnsi"/>
                <w:lang w:val="es-419"/>
              </w:rPr>
              <w:t>Talleres y seminarios web</w:t>
            </w:r>
          </w:p>
          <w:p w14:paraId="43D6EC09" w14:textId="07B55EDD" w:rsidR="00276F82" w:rsidRPr="00EF48E5" w:rsidRDefault="00276F82" w:rsidP="00783827">
            <w:pPr>
              <w:pStyle w:val="ListParagraph"/>
              <w:numPr>
                <w:ilvl w:val="0"/>
                <w:numId w:val="18"/>
              </w:numPr>
              <w:spacing w:line="240" w:lineRule="auto"/>
              <w:rPr>
                <w:rFonts w:eastAsia="Cambria" w:cstheme="minorHAnsi"/>
                <w:lang w:val="es-419"/>
              </w:rPr>
            </w:pPr>
            <w:r w:rsidRPr="00EF48E5">
              <w:rPr>
                <w:rFonts w:eastAsia="Cambria" w:cstheme="minorHAnsi"/>
                <w:lang w:val="es-419"/>
              </w:rPr>
              <w:t xml:space="preserve">Tutoría y coaching </w:t>
            </w:r>
            <w:r w:rsidR="00C87E65">
              <w:rPr>
                <w:rFonts w:eastAsia="Cambria" w:cstheme="minorHAnsi"/>
                <w:lang w:val="es-419"/>
              </w:rPr>
              <w:t>individuales</w:t>
            </w:r>
          </w:p>
          <w:p w14:paraId="121C12BF" w14:textId="5EF7E95E" w:rsidR="00276F82" w:rsidRPr="00EF48E5" w:rsidRDefault="00276F82" w:rsidP="00783827">
            <w:pPr>
              <w:pStyle w:val="ListParagraph"/>
              <w:numPr>
                <w:ilvl w:val="0"/>
                <w:numId w:val="18"/>
              </w:numPr>
              <w:spacing w:line="240" w:lineRule="auto"/>
              <w:rPr>
                <w:rFonts w:eastAsia="Cambria" w:cstheme="minorHAnsi"/>
                <w:lang w:val="es-419"/>
              </w:rPr>
            </w:pPr>
            <w:r w:rsidRPr="00EF48E5">
              <w:rPr>
                <w:rFonts w:eastAsia="Cambria" w:cstheme="minorHAnsi"/>
                <w:lang w:val="es-419"/>
              </w:rPr>
              <w:t>Intercambios entre pares</w:t>
            </w:r>
          </w:p>
          <w:p w14:paraId="36F4F9DE" w14:textId="77777777" w:rsidR="002D103D" w:rsidRPr="00EF48E5" w:rsidRDefault="002D103D" w:rsidP="002D103D">
            <w:pPr>
              <w:spacing w:line="240" w:lineRule="auto"/>
              <w:rPr>
                <w:rFonts w:eastAsia="Cambria" w:cstheme="minorHAnsi"/>
                <w:lang w:val="es-419"/>
              </w:rPr>
            </w:pPr>
          </w:p>
          <w:p w14:paraId="43CA1E0C" w14:textId="32977B40" w:rsidR="002D103D" w:rsidRPr="00EF48E5" w:rsidRDefault="002D103D" w:rsidP="002D103D">
            <w:pPr>
              <w:spacing w:line="240" w:lineRule="auto"/>
              <w:rPr>
                <w:rFonts w:eastAsia="Cambria" w:cstheme="minorHAnsi"/>
                <w:lang w:val="es-419"/>
              </w:rPr>
            </w:pPr>
            <w:r w:rsidRPr="00EF48E5">
              <w:rPr>
                <w:rFonts w:eastAsia="Cambria" w:cstheme="minorHAnsi"/>
                <w:lang w:val="es-419"/>
              </w:rPr>
              <w:t>Actividades del proyecto, que incluyen: (1) desarrollo de capacidades a través de la participación directa del personal de RIT en talleres, capacitación, entrenamiento, tutoría, reuniones; (2) otorgar pequeñas subvenciones a través del Mecanismo de Pequeñas Subvenciones; (3) participación en la documentación de saberes locales y casos de innovación; (4) correos electrónicos directos y reuniones, talleres y seminarios web de CANARI</w:t>
            </w:r>
          </w:p>
        </w:tc>
      </w:tr>
      <w:tr w:rsidR="003B17EF" w:rsidRPr="00EF48E5" w14:paraId="1A0C0882" w14:textId="77777777" w:rsidTr="002D103D">
        <w:tc>
          <w:tcPr>
            <w:tcW w:w="2263" w:type="dxa"/>
          </w:tcPr>
          <w:p w14:paraId="70526D27" w14:textId="5841B9D1" w:rsidR="003B17EF" w:rsidRPr="00EF48E5" w:rsidRDefault="0074097D" w:rsidP="00F56619">
            <w:pPr>
              <w:rPr>
                <w:rFonts w:cstheme="minorHAnsi"/>
                <w:lang w:val="es-419"/>
              </w:rPr>
            </w:pPr>
            <w:r w:rsidRPr="00EF48E5">
              <w:rPr>
                <w:rFonts w:cstheme="minorHAnsi"/>
                <w:lang w:val="es-419"/>
              </w:rPr>
              <w:t>Instituciones académicas</w:t>
            </w:r>
          </w:p>
        </w:tc>
        <w:tc>
          <w:tcPr>
            <w:tcW w:w="7087" w:type="dxa"/>
          </w:tcPr>
          <w:p w14:paraId="6A297C98" w14:textId="77777777" w:rsidR="00E95D89" w:rsidRPr="00EF48E5" w:rsidRDefault="00E95D89" w:rsidP="00E95D89">
            <w:pPr>
              <w:pStyle w:val="ListParagraph"/>
              <w:numPr>
                <w:ilvl w:val="0"/>
                <w:numId w:val="18"/>
              </w:numPr>
              <w:spacing w:line="240" w:lineRule="auto"/>
              <w:rPr>
                <w:rFonts w:eastAsia="Cambria" w:cstheme="minorHAnsi"/>
                <w:lang w:val="es-419"/>
              </w:rPr>
            </w:pPr>
            <w:r w:rsidRPr="00EF48E5">
              <w:rPr>
                <w:rFonts w:eastAsia="Cambria" w:cstheme="minorHAnsi"/>
                <w:lang w:val="es-419"/>
              </w:rPr>
              <w:t>Reuniones presenciales y virtuales</w:t>
            </w:r>
          </w:p>
          <w:p w14:paraId="549DC4F5" w14:textId="5FAFCDD8" w:rsidR="00E95D89" w:rsidRPr="00EF48E5" w:rsidRDefault="00C87E65" w:rsidP="00E95D89">
            <w:pPr>
              <w:pStyle w:val="ListParagraph"/>
              <w:numPr>
                <w:ilvl w:val="0"/>
                <w:numId w:val="18"/>
              </w:numPr>
              <w:spacing w:line="240" w:lineRule="auto"/>
              <w:rPr>
                <w:rFonts w:eastAsia="Cambria" w:cstheme="minorHAnsi"/>
                <w:lang w:val="es-419"/>
              </w:rPr>
            </w:pPr>
            <w:r>
              <w:rPr>
                <w:rFonts w:eastAsia="Cambria" w:cstheme="minorHAnsi"/>
                <w:lang w:val="es-419"/>
              </w:rPr>
              <w:t>C</w:t>
            </w:r>
            <w:r w:rsidR="00E95D89" w:rsidRPr="00EF48E5">
              <w:rPr>
                <w:rFonts w:eastAsia="Cambria" w:cstheme="minorHAnsi"/>
                <w:lang w:val="es-419"/>
              </w:rPr>
              <w:t>orreos electrónicos directos</w:t>
            </w:r>
          </w:p>
          <w:p w14:paraId="4399E0DE" w14:textId="77777777" w:rsidR="00E95D89" w:rsidRPr="00EF48E5" w:rsidRDefault="00E95D89" w:rsidP="00E95D89">
            <w:pPr>
              <w:pStyle w:val="ListParagraph"/>
              <w:numPr>
                <w:ilvl w:val="0"/>
                <w:numId w:val="18"/>
              </w:numPr>
              <w:spacing w:line="240" w:lineRule="auto"/>
              <w:rPr>
                <w:rFonts w:eastAsia="Cambria" w:cstheme="minorHAnsi"/>
                <w:lang w:val="es-419"/>
              </w:rPr>
            </w:pPr>
            <w:r w:rsidRPr="00EF48E5">
              <w:rPr>
                <w:rFonts w:eastAsia="Cambria" w:cstheme="minorHAnsi"/>
                <w:lang w:val="es-419"/>
              </w:rPr>
              <w:t>Participación en las actividades del proyecto</w:t>
            </w:r>
          </w:p>
          <w:p w14:paraId="015473C7" w14:textId="77777777" w:rsidR="00E95D89" w:rsidRPr="00EF48E5" w:rsidRDefault="00E95D89" w:rsidP="00E95D89">
            <w:pPr>
              <w:pStyle w:val="ListParagraph"/>
              <w:numPr>
                <w:ilvl w:val="0"/>
                <w:numId w:val="18"/>
              </w:numPr>
              <w:spacing w:line="240" w:lineRule="auto"/>
              <w:rPr>
                <w:rFonts w:eastAsia="Cambria" w:cstheme="minorHAnsi"/>
                <w:lang w:val="es-419"/>
              </w:rPr>
            </w:pPr>
            <w:r w:rsidRPr="00EF48E5">
              <w:rPr>
                <w:rFonts w:eastAsia="Cambria" w:cstheme="minorHAnsi"/>
                <w:lang w:val="es-419"/>
              </w:rPr>
              <w:t>Publicación en servidores de listas del Caribe</w:t>
            </w:r>
          </w:p>
          <w:p w14:paraId="1FEA4594" w14:textId="77777777" w:rsidR="00E95D89" w:rsidRPr="00EF48E5" w:rsidRDefault="00E95D89" w:rsidP="00E95D89">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 social</w:t>
            </w:r>
          </w:p>
          <w:p w14:paraId="797BFFA7" w14:textId="111CBF85" w:rsidR="00E95D89" w:rsidRPr="00EF48E5" w:rsidRDefault="00C87E65" w:rsidP="00E95D89">
            <w:pPr>
              <w:pStyle w:val="ListParagraph"/>
              <w:numPr>
                <w:ilvl w:val="0"/>
                <w:numId w:val="18"/>
              </w:numPr>
              <w:spacing w:line="240" w:lineRule="auto"/>
              <w:rPr>
                <w:rFonts w:eastAsia="Cambria" w:cstheme="minorHAnsi"/>
                <w:lang w:val="es-419"/>
              </w:rPr>
            </w:pPr>
            <w:r>
              <w:rPr>
                <w:rFonts w:eastAsia="Cambria" w:cstheme="minorHAnsi"/>
                <w:lang w:val="es-419"/>
              </w:rPr>
              <w:t>P</w:t>
            </w:r>
            <w:r w:rsidR="00E95D89" w:rsidRPr="00EF48E5">
              <w:rPr>
                <w:rFonts w:eastAsia="Cambria" w:cstheme="minorHAnsi"/>
                <w:lang w:val="es-419"/>
              </w:rPr>
              <w:t>ágina web de CANARI</w:t>
            </w:r>
          </w:p>
          <w:p w14:paraId="31411ACF" w14:textId="77777777" w:rsidR="00E95D89" w:rsidRPr="00EF48E5" w:rsidRDefault="00E95D89" w:rsidP="00E95D89">
            <w:pPr>
              <w:pStyle w:val="ListParagraph"/>
              <w:numPr>
                <w:ilvl w:val="0"/>
                <w:numId w:val="18"/>
              </w:numPr>
              <w:spacing w:line="240" w:lineRule="auto"/>
              <w:rPr>
                <w:rFonts w:eastAsia="Cambria" w:cstheme="minorHAnsi"/>
                <w:lang w:val="es-419"/>
              </w:rPr>
            </w:pPr>
            <w:r w:rsidRPr="00EF48E5">
              <w:rPr>
                <w:rFonts w:eastAsia="Cambria" w:cstheme="minorHAnsi"/>
                <w:lang w:val="es-419"/>
              </w:rPr>
              <w:t>Bases de datos regionales</w:t>
            </w:r>
          </w:p>
          <w:p w14:paraId="253269A8" w14:textId="24642736" w:rsidR="003B17EF" w:rsidRPr="00EF48E5" w:rsidRDefault="00E95D89" w:rsidP="00E95D89">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w:t>
            </w:r>
          </w:p>
        </w:tc>
      </w:tr>
      <w:tr w:rsidR="003B17EF" w:rsidRPr="00EF48E5" w14:paraId="62C96F40" w14:textId="77777777" w:rsidTr="002D103D">
        <w:tc>
          <w:tcPr>
            <w:tcW w:w="2263" w:type="dxa"/>
          </w:tcPr>
          <w:p w14:paraId="5AAF18B9" w14:textId="0679916F" w:rsidR="0074097D" w:rsidRPr="00EF48E5" w:rsidRDefault="0074097D" w:rsidP="00F56619">
            <w:pPr>
              <w:rPr>
                <w:rFonts w:cstheme="minorHAnsi"/>
                <w:lang w:val="es-419"/>
              </w:rPr>
            </w:pPr>
            <w:r w:rsidRPr="00EF48E5">
              <w:rPr>
                <w:rFonts w:cstheme="minorHAnsi"/>
                <w:lang w:val="es-419"/>
              </w:rPr>
              <w:t>Organizaciones de base comunitaria (OBC)</w:t>
            </w:r>
          </w:p>
        </w:tc>
        <w:tc>
          <w:tcPr>
            <w:tcW w:w="7087" w:type="dxa"/>
          </w:tcPr>
          <w:p w14:paraId="0FDB10A4" w14:textId="77777777" w:rsidR="00261DC2" w:rsidRPr="00EF48E5" w:rsidRDefault="000B46A4" w:rsidP="000B46A4">
            <w:pPr>
              <w:pStyle w:val="ListParagraph"/>
              <w:numPr>
                <w:ilvl w:val="0"/>
                <w:numId w:val="18"/>
              </w:numPr>
              <w:spacing w:line="240" w:lineRule="auto"/>
              <w:rPr>
                <w:rFonts w:eastAsia="Cambria" w:cstheme="minorHAnsi"/>
                <w:lang w:val="es-419"/>
              </w:rPr>
            </w:pPr>
            <w:r w:rsidRPr="00EF48E5">
              <w:rPr>
                <w:rFonts w:eastAsia="Cambria" w:cstheme="minorHAnsi"/>
                <w:lang w:val="es-419"/>
              </w:rPr>
              <w:t>Reuniones presenciales y virtuales</w:t>
            </w:r>
          </w:p>
          <w:p w14:paraId="700AD458" w14:textId="207A5351" w:rsidR="000B46A4" w:rsidRPr="00EF48E5" w:rsidRDefault="000B46A4" w:rsidP="000B46A4">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 social</w:t>
            </w:r>
          </w:p>
          <w:p w14:paraId="2F4090B7" w14:textId="77777777" w:rsidR="000B46A4" w:rsidRPr="00EF48E5" w:rsidRDefault="000B46A4" w:rsidP="000B46A4">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w:t>
            </w:r>
          </w:p>
          <w:p w14:paraId="0A546593" w14:textId="3CA6B1F8" w:rsidR="003B17EF" w:rsidRPr="00EF48E5" w:rsidRDefault="00261DC2" w:rsidP="000B46A4">
            <w:pPr>
              <w:pStyle w:val="ListParagraph"/>
              <w:numPr>
                <w:ilvl w:val="0"/>
                <w:numId w:val="18"/>
              </w:numPr>
              <w:spacing w:line="240" w:lineRule="auto"/>
              <w:rPr>
                <w:rFonts w:eastAsia="Cambria" w:cstheme="minorHAnsi"/>
                <w:lang w:val="es-419"/>
              </w:rPr>
            </w:pPr>
            <w:r w:rsidRPr="00EF48E5">
              <w:rPr>
                <w:rFonts w:eastAsia="Cambria" w:cstheme="minorHAnsi"/>
                <w:lang w:val="es-419"/>
              </w:rPr>
              <w:t>Vías específicas utilizadas por las organizaciones comunitarias objetivo que operan en las comunidades</w:t>
            </w:r>
          </w:p>
        </w:tc>
      </w:tr>
      <w:tr w:rsidR="003B17EF" w:rsidRPr="00EF48E5" w14:paraId="2B41381F" w14:textId="77777777" w:rsidTr="002D103D">
        <w:tc>
          <w:tcPr>
            <w:tcW w:w="2263" w:type="dxa"/>
          </w:tcPr>
          <w:p w14:paraId="64BDC297" w14:textId="0A0D3582" w:rsidR="003B17EF" w:rsidRPr="00EF48E5" w:rsidRDefault="0074097D" w:rsidP="00F56619">
            <w:pPr>
              <w:rPr>
                <w:rFonts w:cstheme="minorHAnsi"/>
                <w:lang w:val="es-419"/>
              </w:rPr>
            </w:pPr>
            <w:r w:rsidRPr="00EF48E5">
              <w:rPr>
                <w:rFonts w:cstheme="minorHAnsi"/>
                <w:lang w:val="es-419"/>
              </w:rPr>
              <w:t>Comunidades locales</w:t>
            </w:r>
          </w:p>
        </w:tc>
        <w:tc>
          <w:tcPr>
            <w:tcW w:w="7087" w:type="dxa"/>
          </w:tcPr>
          <w:p w14:paraId="0E79746F" w14:textId="77777777" w:rsidR="00261DC2" w:rsidRPr="00EF48E5" w:rsidRDefault="00261DC2" w:rsidP="00261DC2">
            <w:pPr>
              <w:pStyle w:val="ListParagraph"/>
              <w:numPr>
                <w:ilvl w:val="0"/>
                <w:numId w:val="18"/>
              </w:numPr>
              <w:spacing w:line="240" w:lineRule="auto"/>
              <w:rPr>
                <w:rFonts w:eastAsia="Cambria" w:cstheme="minorHAnsi"/>
                <w:lang w:val="es-419"/>
              </w:rPr>
            </w:pPr>
            <w:r w:rsidRPr="00EF48E5">
              <w:rPr>
                <w:rFonts w:eastAsia="Cambria" w:cstheme="minorHAnsi"/>
                <w:lang w:val="es-419"/>
              </w:rPr>
              <w:t>Reuniones presenciales y virtuales</w:t>
            </w:r>
          </w:p>
          <w:p w14:paraId="64747DEB" w14:textId="77777777" w:rsidR="00261DC2" w:rsidRPr="00EF48E5" w:rsidRDefault="00261DC2" w:rsidP="00261DC2">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 social</w:t>
            </w:r>
          </w:p>
          <w:p w14:paraId="5EDEFA9D" w14:textId="2DA7F96F" w:rsidR="003B17EF" w:rsidRPr="00EF48E5" w:rsidRDefault="00261DC2" w:rsidP="00C87E65">
            <w:pPr>
              <w:pStyle w:val="ListParagraph"/>
              <w:numPr>
                <w:ilvl w:val="0"/>
                <w:numId w:val="18"/>
              </w:numPr>
              <w:spacing w:line="240" w:lineRule="auto"/>
              <w:rPr>
                <w:rFonts w:eastAsia="Cambria" w:cstheme="minorHAnsi"/>
                <w:lang w:val="es-419"/>
              </w:rPr>
            </w:pPr>
            <w:r w:rsidRPr="00EF48E5">
              <w:rPr>
                <w:rFonts w:eastAsia="Cambria" w:cstheme="minorHAnsi"/>
                <w:lang w:val="es-419"/>
              </w:rPr>
              <w:t xml:space="preserve">Medios de </w:t>
            </w:r>
            <w:r w:rsidRPr="000B4607">
              <w:rPr>
                <w:rFonts w:eastAsia="Cambria" w:cstheme="minorHAnsi"/>
                <w:lang w:val="es-419"/>
              </w:rPr>
              <w:t>comunicación</w:t>
            </w:r>
            <w:r w:rsidR="00C87E65" w:rsidRPr="000B4607">
              <w:rPr>
                <w:rFonts w:eastAsia="Cambria" w:cstheme="minorHAnsi"/>
                <w:lang w:val="es-419"/>
              </w:rPr>
              <w:t xml:space="preserve"> </w:t>
            </w:r>
            <w:r w:rsidRPr="000B4607">
              <w:rPr>
                <w:rFonts w:eastAsia="Cambria" w:cstheme="minorHAnsi"/>
                <w:lang w:val="es-419"/>
              </w:rPr>
              <w:t>específic</w:t>
            </w:r>
            <w:r w:rsidR="00C87E65" w:rsidRPr="000B4607">
              <w:rPr>
                <w:rFonts w:eastAsia="Cambria" w:cstheme="minorHAnsi"/>
                <w:lang w:val="es-419"/>
              </w:rPr>
              <w:t>o</w:t>
            </w:r>
            <w:r w:rsidRPr="000B4607">
              <w:rPr>
                <w:rFonts w:eastAsia="Cambria" w:cstheme="minorHAnsi"/>
                <w:lang w:val="es-419"/>
              </w:rPr>
              <w:t>s utilizad</w:t>
            </w:r>
            <w:r w:rsidR="00C87E65" w:rsidRPr="000B4607">
              <w:rPr>
                <w:rFonts w:eastAsia="Cambria" w:cstheme="minorHAnsi"/>
                <w:lang w:val="es-419"/>
              </w:rPr>
              <w:t>o</w:t>
            </w:r>
            <w:r w:rsidRPr="000B4607">
              <w:rPr>
                <w:rFonts w:eastAsia="Cambria" w:cstheme="minorHAnsi"/>
                <w:lang w:val="es-419"/>
              </w:rPr>
              <w:t>s por las</w:t>
            </w:r>
            <w:r w:rsidRPr="00EF48E5">
              <w:rPr>
                <w:rFonts w:eastAsia="Cambria" w:cstheme="minorHAnsi"/>
                <w:lang w:val="es-419"/>
              </w:rPr>
              <w:t xml:space="preserve"> comunidades locales objetivo en y alrededor de las </w:t>
            </w:r>
            <w:r w:rsidR="00E01D7B">
              <w:rPr>
                <w:rFonts w:eastAsia="Cambria" w:cstheme="minorHAnsi"/>
                <w:lang w:val="es-419"/>
              </w:rPr>
              <w:t>KBA</w:t>
            </w:r>
            <w:r w:rsidR="001B11F8">
              <w:rPr>
                <w:rFonts w:eastAsia="Cambria" w:cstheme="minorHAnsi"/>
                <w:lang w:val="es-419"/>
              </w:rPr>
              <w:t xml:space="preserve"> </w:t>
            </w:r>
            <w:r w:rsidRPr="00EF48E5">
              <w:rPr>
                <w:rFonts w:eastAsia="Cambria" w:cstheme="minorHAnsi"/>
                <w:lang w:val="es-419"/>
              </w:rPr>
              <w:t>prioritarias</w:t>
            </w:r>
          </w:p>
        </w:tc>
      </w:tr>
      <w:tr w:rsidR="003B17EF" w:rsidRPr="00EF48E5" w14:paraId="73B0282B" w14:textId="77777777" w:rsidTr="002D103D">
        <w:tc>
          <w:tcPr>
            <w:tcW w:w="2263" w:type="dxa"/>
          </w:tcPr>
          <w:p w14:paraId="0012C400" w14:textId="522B38FF" w:rsidR="003B17EF" w:rsidRPr="00EF48E5" w:rsidRDefault="00F56619" w:rsidP="00F56619">
            <w:pPr>
              <w:rPr>
                <w:rFonts w:cstheme="minorHAnsi"/>
                <w:lang w:val="es-419"/>
              </w:rPr>
            </w:pPr>
            <w:r w:rsidRPr="00EF48E5">
              <w:rPr>
                <w:rFonts w:cstheme="minorHAnsi"/>
                <w:lang w:val="es-419"/>
              </w:rPr>
              <w:t>Agencias del gobierno nacional</w:t>
            </w:r>
          </w:p>
        </w:tc>
        <w:tc>
          <w:tcPr>
            <w:tcW w:w="7087" w:type="dxa"/>
          </w:tcPr>
          <w:p w14:paraId="27746449" w14:textId="77777777" w:rsidR="00971586" w:rsidRPr="00EF48E5" w:rsidRDefault="00971586" w:rsidP="00971586">
            <w:pPr>
              <w:pStyle w:val="ListParagraph"/>
              <w:numPr>
                <w:ilvl w:val="0"/>
                <w:numId w:val="18"/>
              </w:numPr>
              <w:spacing w:line="240" w:lineRule="auto"/>
              <w:rPr>
                <w:rFonts w:eastAsia="Cambria" w:cstheme="minorHAnsi"/>
                <w:lang w:val="es-419"/>
              </w:rPr>
            </w:pPr>
            <w:r w:rsidRPr="00EF48E5">
              <w:rPr>
                <w:rFonts w:eastAsia="Cambria" w:cstheme="minorHAnsi"/>
                <w:lang w:val="es-419"/>
              </w:rPr>
              <w:t>Reuniones presenciales y virtuales</w:t>
            </w:r>
          </w:p>
          <w:p w14:paraId="437293DB" w14:textId="620FA116" w:rsidR="00971586" w:rsidRPr="00EF48E5" w:rsidRDefault="00C87E65" w:rsidP="00971586">
            <w:pPr>
              <w:pStyle w:val="ListParagraph"/>
              <w:numPr>
                <w:ilvl w:val="0"/>
                <w:numId w:val="18"/>
              </w:numPr>
              <w:spacing w:line="240" w:lineRule="auto"/>
              <w:rPr>
                <w:rFonts w:eastAsia="Cambria" w:cstheme="minorHAnsi"/>
                <w:lang w:val="es-419"/>
              </w:rPr>
            </w:pPr>
            <w:r>
              <w:rPr>
                <w:rFonts w:eastAsia="Cambria" w:cstheme="minorHAnsi"/>
                <w:lang w:val="es-419"/>
              </w:rPr>
              <w:t>C</w:t>
            </w:r>
            <w:r w:rsidR="00971586" w:rsidRPr="00EF48E5">
              <w:rPr>
                <w:rFonts w:eastAsia="Cambria" w:cstheme="minorHAnsi"/>
                <w:lang w:val="es-419"/>
              </w:rPr>
              <w:t>orreos electrónicos directos</w:t>
            </w:r>
          </w:p>
          <w:p w14:paraId="02B7BA9F" w14:textId="1C654F5F" w:rsidR="00B84657" w:rsidRPr="00EF48E5" w:rsidRDefault="00B84657" w:rsidP="00971586">
            <w:pPr>
              <w:pStyle w:val="ListParagraph"/>
              <w:numPr>
                <w:ilvl w:val="0"/>
                <w:numId w:val="18"/>
              </w:numPr>
              <w:spacing w:line="240" w:lineRule="auto"/>
              <w:rPr>
                <w:rFonts w:eastAsia="Cambria" w:cstheme="minorHAnsi"/>
                <w:lang w:val="es-419"/>
              </w:rPr>
            </w:pPr>
            <w:r w:rsidRPr="00EF48E5">
              <w:rPr>
                <w:rFonts w:eastAsia="Cambria" w:cstheme="minorHAnsi"/>
                <w:lang w:val="es-419"/>
              </w:rPr>
              <w:t>Participación en las actividades del proyecto</w:t>
            </w:r>
          </w:p>
          <w:p w14:paraId="1D9F1087" w14:textId="2928E0E5" w:rsidR="00971586" w:rsidRPr="00EF48E5" w:rsidRDefault="00971586" w:rsidP="00971586">
            <w:pPr>
              <w:pStyle w:val="ListParagraph"/>
              <w:numPr>
                <w:ilvl w:val="0"/>
                <w:numId w:val="18"/>
              </w:numPr>
              <w:spacing w:line="240" w:lineRule="auto"/>
              <w:rPr>
                <w:rFonts w:eastAsia="Cambria" w:cstheme="minorHAnsi"/>
                <w:lang w:val="es-419"/>
              </w:rPr>
            </w:pPr>
            <w:r w:rsidRPr="00EF48E5">
              <w:rPr>
                <w:rFonts w:eastAsia="Cambria" w:cstheme="minorHAnsi"/>
                <w:lang w:val="es-419"/>
              </w:rPr>
              <w:t xml:space="preserve">Publicación en </w:t>
            </w:r>
            <w:r w:rsidR="0025400F">
              <w:rPr>
                <w:rFonts w:eastAsia="Cambria" w:cstheme="minorHAnsi"/>
                <w:lang w:val="es-419"/>
              </w:rPr>
              <w:t>aplicaciones “</w:t>
            </w:r>
            <w:proofErr w:type="spellStart"/>
            <w:r w:rsidR="0025400F">
              <w:rPr>
                <w:rFonts w:eastAsia="Cambria" w:cstheme="minorHAnsi"/>
                <w:lang w:val="es-419"/>
              </w:rPr>
              <w:t>listserv</w:t>
            </w:r>
            <w:proofErr w:type="spellEnd"/>
            <w:r w:rsidR="0025400F">
              <w:rPr>
                <w:rFonts w:eastAsia="Cambria" w:cstheme="minorHAnsi"/>
                <w:lang w:val="es-419"/>
              </w:rPr>
              <w:t>”</w:t>
            </w:r>
            <w:r w:rsidRPr="00EF48E5">
              <w:rPr>
                <w:rFonts w:eastAsia="Cambria" w:cstheme="minorHAnsi"/>
                <w:lang w:val="es-419"/>
              </w:rPr>
              <w:t xml:space="preserve"> del Caribe</w:t>
            </w:r>
          </w:p>
          <w:p w14:paraId="7A49C7F5" w14:textId="77777777" w:rsidR="00971586" w:rsidRPr="00EF48E5" w:rsidRDefault="00971586" w:rsidP="00971586">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 social</w:t>
            </w:r>
          </w:p>
          <w:p w14:paraId="7B88F5B1" w14:textId="197D15B4" w:rsidR="00971586" w:rsidRPr="00EF48E5" w:rsidRDefault="00C87E65" w:rsidP="00971586">
            <w:pPr>
              <w:pStyle w:val="ListParagraph"/>
              <w:numPr>
                <w:ilvl w:val="0"/>
                <w:numId w:val="18"/>
              </w:numPr>
              <w:spacing w:line="240" w:lineRule="auto"/>
              <w:rPr>
                <w:rFonts w:eastAsia="Cambria" w:cstheme="minorHAnsi"/>
                <w:lang w:val="es-419"/>
              </w:rPr>
            </w:pPr>
            <w:r>
              <w:rPr>
                <w:rFonts w:eastAsia="Cambria" w:cstheme="minorHAnsi"/>
                <w:lang w:val="es-419"/>
              </w:rPr>
              <w:t>P</w:t>
            </w:r>
            <w:r w:rsidR="00971586" w:rsidRPr="00EF48E5">
              <w:rPr>
                <w:rFonts w:eastAsia="Cambria" w:cstheme="minorHAnsi"/>
                <w:lang w:val="es-419"/>
              </w:rPr>
              <w:t>ágina web de CANARI</w:t>
            </w:r>
          </w:p>
          <w:p w14:paraId="24513FA7" w14:textId="77777777" w:rsidR="00971586" w:rsidRPr="00EF48E5" w:rsidRDefault="00971586" w:rsidP="00971586">
            <w:pPr>
              <w:pStyle w:val="ListParagraph"/>
              <w:numPr>
                <w:ilvl w:val="0"/>
                <w:numId w:val="18"/>
              </w:numPr>
              <w:spacing w:line="240" w:lineRule="auto"/>
              <w:rPr>
                <w:rFonts w:eastAsia="Cambria" w:cstheme="minorHAnsi"/>
                <w:lang w:val="es-419"/>
              </w:rPr>
            </w:pPr>
            <w:r w:rsidRPr="00EF48E5">
              <w:rPr>
                <w:rFonts w:eastAsia="Cambria" w:cstheme="minorHAnsi"/>
                <w:lang w:val="es-419"/>
              </w:rPr>
              <w:t>Bases de datos regionales</w:t>
            </w:r>
          </w:p>
          <w:p w14:paraId="6AF5D318" w14:textId="2DC2C6CC" w:rsidR="003B17EF" w:rsidRPr="00EF48E5" w:rsidRDefault="00971586" w:rsidP="00971586">
            <w:pPr>
              <w:pStyle w:val="ListParagraph"/>
              <w:numPr>
                <w:ilvl w:val="0"/>
                <w:numId w:val="18"/>
              </w:numPr>
              <w:spacing w:line="240" w:lineRule="auto"/>
              <w:rPr>
                <w:rFonts w:eastAsia="Cambria" w:cstheme="minorHAnsi"/>
                <w:lang w:val="es-419"/>
              </w:rPr>
            </w:pPr>
            <w:r w:rsidRPr="00EF48E5">
              <w:rPr>
                <w:rFonts w:eastAsia="Cambria" w:cstheme="minorHAnsi"/>
                <w:lang w:val="es-419"/>
              </w:rPr>
              <w:lastRenderedPageBreak/>
              <w:t>Medios de comunicación</w:t>
            </w:r>
          </w:p>
        </w:tc>
      </w:tr>
      <w:tr w:rsidR="003B17EF" w:rsidRPr="00EF48E5" w14:paraId="373286B0" w14:textId="77777777" w:rsidTr="002D103D">
        <w:tc>
          <w:tcPr>
            <w:tcW w:w="2263" w:type="dxa"/>
          </w:tcPr>
          <w:p w14:paraId="4801E930" w14:textId="6B86F19E" w:rsidR="003B17EF" w:rsidRPr="00EF48E5" w:rsidRDefault="00F56619" w:rsidP="00F56619">
            <w:pPr>
              <w:rPr>
                <w:rFonts w:cstheme="minorHAnsi"/>
                <w:lang w:val="es-419"/>
              </w:rPr>
            </w:pPr>
            <w:r w:rsidRPr="00EF48E5">
              <w:rPr>
                <w:rFonts w:cstheme="minorHAnsi"/>
                <w:lang w:val="es-419"/>
              </w:rPr>
              <w:lastRenderedPageBreak/>
              <w:t>Agencias gubernamentales locales</w:t>
            </w:r>
          </w:p>
        </w:tc>
        <w:tc>
          <w:tcPr>
            <w:tcW w:w="7087" w:type="dxa"/>
          </w:tcPr>
          <w:p w14:paraId="4B502E13" w14:textId="77777777" w:rsidR="00EE2871" w:rsidRPr="00EF48E5" w:rsidRDefault="00EE2871" w:rsidP="00EE2871">
            <w:pPr>
              <w:pStyle w:val="ListParagraph"/>
              <w:numPr>
                <w:ilvl w:val="0"/>
                <w:numId w:val="18"/>
              </w:numPr>
              <w:spacing w:line="240" w:lineRule="auto"/>
              <w:rPr>
                <w:rFonts w:eastAsia="Cambria" w:cstheme="minorHAnsi"/>
                <w:lang w:val="es-419"/>
              </w:rPr>
            </w:pPr>
            <w:r w:rsidRPr="00EF48E5">
              <w:rPr>
                <w:rFonts w:eastAsia="Cambria" w:cstheme="minorHAnsi"/>
                <w:lang w:val="es-419"/>
              </w:rPr>
              <w:t>Reuniones presenciales y virtuales</w:t>
            </w:r>
          </w:p>
          <w:p w14:paraId="5E045DE0" w14:textId="0524189D" w:rsidR="00EE2871" w:rsidRPr="00EF48E5" w:rsidRDefault="00EB0EE4" w:rsidP="00EE2871">
            <w:pPr>
              <w:pStyle w:val="ListParagraph"/>
              <w:numPr>
                <w:ilvl w:val="0"/>
                <w:numId w:val="18"/>
              </w:numPr>
              <w:spacing w:line="240" w:lineRule="auto"/>
              <w:rPr>
                <w:rFonts w:eastAsia="Cambria" w:cstheme="minorHAnsi"/>
                <w:lang w:val="es-419"/>
              </w:rPr>
            </w:pPr>
            <w:r>
              <w:rPr>
                <w:rFonts w:eastAsia="Cambria" w:cstheme="minorHAnsi"/>
                <w:lang w:val="es-419"/>
              </w:rPr>
              <w:t>C</w:t>
            </w:r>
            <w:r w:rsidR="00EE2871" w:rsidRPr="00EF48E5">
              <w:rPr>
                <w:rFonts w:eastAsia="Cambria" w:cstheme="minorHAnsi"/>
                <w:lang w:val="es-419"/>
              </w:rPr>
              <w:t>orreos electrónicos directos</w:t>
            </w:r>
          </w:p>
          <w:p w14:paraId="0C5BC21D" w14:textId="4EE32741" w:rsidR="003B17EF" w:rsidRPr="00EF48E5" w:rsidRDefault="00EE2871" w:rsidP="00F56619">
            <w:pPr>
              <w:pStyle w:val="ListParagraph"/>
              <w:numPr>
                <w:ilvl w:val="0"/>
                <w:numId w:val="18"/>
              </w:numPr>
              <w:spacing w:line="240" w:lineRule="auto"/>
              <w:rPr>
                <w:rFonts w:eastAsia="Cambria" w:cstheme="minorHAnsi"/>
                <w:lang w:val="es-419"/>
              </w:rPr>
            </w:pPr>
            <w:r w:rsidRPr="00EF48E5">
              <w:rPr>
                <w:rFonts w:eastAsia="Cambria" w:cstheme="minorHAnsi"/>
                <w:lang w:val="es-419"/>
              </w:rPr>
              <w:t>Participación en las actividades del proyecto</w:t>
            </w:r>
          </w:p>
        </w:tc>
      </w:tr>
      <w:tr w:rsidR="003B17EF" w:rsidRPr="00EF48E5" w14:paraId="1904037D" w14:textId="77777777" w:rsidTr="002D103D">
        <w:tc>
          <w:tcPr>
            <w:tcW w:w="2263" w:type="dxa"/>
          </w:tcPr>
          <w:p w14:paraId="2865D199" w14:textId="7AE6C78D" w:rsidR="003B17EF" w:rsidRPr="00EF48E5" w:rsidRDefault="00F56619" w:rsidP="00F56619">
            <w:pPr>
              <w:rPr>
                <w:rFonts w:cstheme="minorHAnsi"/>
                <w:lang w:val="es-419"/>
              </w:rPr>
            </w:pPr>
            <w:r w:rsidRPr="00EF48E5">
              <w:rPr>
                <w:rFonts w:cstheme="minorHAnsi"/>
                <w:lang w:val="es-419"/>
              </w:rPr>
              <w:t>Actores del sector privado</w:t>
            </w:r>
          </w:p>
        </w:tc>
        <w:tc>
          <w:tcPr>
            <w:tcW w:w="7087" w:type="dxa"/>
          </w:tcPr>
          <w:p w14:paraId="77F83535" w14:textId="77777777" w:rsidR="00514080" w:rsidRPr="00EF48E5" w:rsidRDefault="00514080" w:rsidP="00514080">
            <w:pPr>
              <w:pStyle w:val="ListParagraph"/>
              <w:numPr>
                <w:ilvl w:val="0"/>
                <w:numId w:val="18"/>
              </w:numPr>
              <w:spacing w:line="240" w:lineRule="auto"/>
              <w:rPr>
                <w:rFonts w:eastAsia="Cambria" w:cstheme="minorHAnsi"/>
                <w:lang w:val="es-419"/>
              </w:rPr>
            </w:pPr>
            <w:r w:rsidRPr="00EF48E5">
              <w:rPr>
                <w:rFonts w:eastAsia="Cambria" w:cstheme="minorHAnsi"/>
                <w:lang w:val="es-419"/>
              </w:rPr>
              <w:t>Reuniones presenciales y virtuales</w:t>
            </w:r>
          </w:p>
          <w:p w14:paraId="081E2E90" w14:textId="70758BEE" w:rsidR="00514080" w:rsidRPr="00EF48E5" w:rsidRDefault="00EB0EE4" w:rsidP="00514080">
            <w:pPr>
              <w:pStyle w:val="ListParagraph"/>
              <w:numPr>
                <w:ilvl w:val="0"/>
                <w:numId w:val="18"/>
              </w:numPr>
              <w:spacing w:line="240" w:lineRule="auto"/>
              <w:rPr>
                <w:rFonts w:eastAsia="Cambria" w:cstheme="minorHAnsi"/>
                <w:lang w:val="es-419"/>
              </w:rPr>
            </w:pPr>
            <w:r>
              <w:rPr>
                <w:rFonts w:eastAsia="Cambria" w:cstheme="minorHAnsi"/>
                <w:lang w:val="es-419"/>
              </w:rPr>
              <w:t>C</w:t>
            </w:r>
            <w:r w:rsidR="00514080" w:rsidRPr="00EF48E5">
              <w:rPr>
                <w:rFonts w:eastAsia="Cambria" w:cstheme="minorHAnsi"/>
                <w:lang w:val="es-419"/>
              </w:rPr>
              <w:t>orreos electrónicos directos</w:t>
            </w:r>
          </w:p>
          <w:p w14:paraId="03FB51EC" w14:textId="77777777" w:rsidR="003B17EF" w:rsidRPr="00EF48E5" w:rsidRDefault="00514080" w:rsidP="00F56619">
            <w:pPr>
              <w:pStyle w:val="ListParagraph"/>
              <w:numPr>
                <w:ilvl w:val="0"/>
                <w:numId w:val="18"/>
              </w:numPr>
              <w:spacing w:line="240" w:lineRule="auto"/>
              <w:rPr>
                <w:rFonts w:eastAsia="Cambria" w:cstheme="minorHAnsi"/>
                <w:lang w:val="es-419"/>
              </w:rPr>
            </w:pPr>
            <w:r w:rsidRPr="00EF48E5">
              <w:rPr>
                <w:rFonts w:eastAsia="Cambria" w:cstheme="minorHAnsi"/>
                <w:lang w:val="es-419"/>
              </w:rPr>
              <w:t>Participación en las actividades del proyecto</w:t>
            </w:r>
          </w:p>
          <w:p w14:paraId="6526B53E" w14:textId="5D292FB2" w:rsidR="00514080" w:rsidRPr="00EF48E5" w:rsidRDefault="00514080" w:rsidP="00F56619">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w:t>
            </w:r>
          </w:p>
        </w:tc>
      </w:tr>
      <w:tr w:rsidR="00F56619" w:rsidRPr="00EF48E5" w14:paraId="0537A78D" w14:textId="77777777" w:rsidTr="002D103D">
        <w:tc>
          <w:tcPr>
            <w:tcW w:w="2263" w:type="dxa"/>
          </w:tcPr>
          <w:p w14:paraId="2E8FD67C" w14:textId="5D0F6E36" w:rsidR="00F56619" w:rsidRPr="00EF48E5" w:rsidRDefault="00F56619" w:rsidP="00F56619">
            <w:pPr>
              <w:rPr>
                <w:rFonts w:cstheme="minorHAnsi"/>
                <w:lang w:val="es-419"/>
              </w:rPr>
            </w:pPr>
            <w:r w:rsidRPr="00EF48E5">
              <w:rPr>
                <w:rFonts w:cstheme="minorHAnsi"/>
                <w:lang w:val="es-419"/>
              </w:rPr>
              <w:t>OSC internacionales</w:t>
            </w:r>
          </w:p>
        </w:tc>
        <w:tc>
          <w:tcPr>
            <w:tcW w:w="7087" w:type="dxa"/>
          </w:tcPr>
          <w:p w14:paraId="5654A7C2" w14:textId="77777777" w:rsidR="00EE2871" w:rsidRPr="00EF48E5" w:rsidRDefault="00EE2871" w:rsidP="00EE2871">
            <w:pPr>
              <w:pStyle w:val="ListParagraph"/>
              <w:numPr>
                <w:ilvl w:val="0"/>
                <w:numId w:val="18"/>
              </w:numPr>
              <w:spacing w:line="240" w:lineRule="auto"/>
              <w:rPr>
                <w:rFonts w:eastAsia="Cambria" w:cstheme="minorHAnsi"/>
                <w:lang w:val="es-419"/>
              </w:rPr>
            </w:pPr>
            <w:r w:rsidRPr="00EF48E5">
              <w:rPr>
                <w:rFonts w:eastAsia="Cambria" w:cstheme="minorHAnsi"/>
                <w:lang w:val="es-419"/>
              </w:rPr>
              <w:t>Reuniones presenciales y virtuales</w:t>
            </w:r>
          </w:p>
          <w:p w14:paraId="08B49E4A" w14:textId="7BA34B67" w:rsidR="00EE2871" w:rsidRPr="00EF48E5" w:rsidRDefault="00EB0EE4" w:rsidP="00EE2871">
            <w:pPr>
              <w:pStyle w:val="ListParagraph"/>
              <w:numPr>
                <w:ilvl w:val="0"/>
                <w:numId w:val="18"/>
              </w:numPr>
              <w:spacing w:line="240" w:lineRule="auto"/>
              <w:rPr>
                <w:rFonts w:eastAsia="Cambria" w:cstheme="minorHAnsi"/>
                <w:lang w:val="es-419"/>
              </w:rPr>
            </w:pPr>
            <w:r>
              <w:rPr>
                <w:rFonts w:eastAsia="Cambria" w:cstheme="minorHAnsi"/>
                <w:lang w:val="es-419"/>
              </w:rPr>
              <w:t>C</w:t>
            </w:r>
            <w:r w:rsidR="00EE2871" w:rsidRPr="00EF48E5">
              <w:rPr>
                <w:rFonts w:eastAsia="Cambria" w:cstheme="minorHAnsi"/>
                <w:lang w:val="es-419"/>
              </w:rPr>
              <w:t>orreos electrónicos directos</w:t>
            </w:r>
          </w:p>
          <w:p w14:paraId="14292413" w14:textId="77777777" w:rsidR="00EE2871" w:rsidRPr="00EF48E5" w:rsidRDefault="00EE2871" w:rsidP="00EE2871">
            <w:pPr>
              <w:pStyle w:val="ListParagraph"/>
              <w:numPr>
                <w:ilvl w:val="0"/>
                <w:numId w:val="18"/>
              </w:numPr>
              <w:spacing w:line="240" w:lineRule="auto"/>
              <w:rPr>
                <w:rFonts w:eastAsia="Cambria" w:cstheme="minorHAnsi"/>
                <w:lang w:val="es-419"/>
              </w:rPr>
            </w:pPr>
            <w:r w:rsidRPr="00EF48E5">
              <w:rPr>
                <w:rFonts w:eastAsia="Cambria" w:cstheme="minorHAnsi"/>
                <w:lang w:val="es-419"/>
              </w:rPr>
              <w:t>Participación en las actividades del proyecto</w:t>
            </w:r>
          </w:p>
          <w:p w14:paraId="0959A04F" w14:textId="78C90FAF" w:rsidR="00EE2871" w:rsidRPr="00EF48E5" w:rsidRDefault="00EE2871" w:rsidP="00EE2871">
            <w:pPr>
              <w:pStyle w:val="ListParagraph"/>
              <w:numPr>
                <w:ilvl w:val="0"/>
                <w:numId w:val="18"/>
              </w:numPr>
              <w:spacing w:line="240" w:lineRule="auto"/>
              <w:rPr>
                <w:rFonts w:eastAsia="Cambria" w:cstheme="minorHAnsi"/>
                <w:lang w:val="es-419"/>
              </w:rPr>
            </w:pPr>
            <w:r w:rsidRPr="00EF48E5">
              <w:rPr>
                <w:rFonts w:eastAsia="Cambria" w:cstheme="minorHAnsi"/>
                <w:lang w:val="es-419"/>
              </w:rPr>
              <w:t>Publicación</w:t>
            </w:r>
            <w:r w:rsidR="0025400F">
              <w:rPr>
                <w:rFonts w:eastAsia="Cambria" w:cstheme="minorHAnsi"/>
                <w:lang w:val="es-419"/>
              </w:rPr>
              <w:t xml:space="preserve"> en</w:t>
            </w:r>
            <w:r w:rsidRPr="00EF48E5">
              <w:rPr>
                <w:rFonts w:eastAsia="Cambria" w:cstheme="minorHAnsi"/>
                <w:lang w:val="es-419"/>
              </w:rPr>
              <w:t xml:space="preserve"> </w:t>
            </w:r>
            <w:r w:rsidR="0025400F">
              <w:rPr>
                <w:rFonts w:eastAsia="Cambria" w:cstheme="minorHAnsi"/>
                <w:lang w:val="es-419"/>
              </w:rPr>
              <w:t>aplicaciones “</w:t>
            </w:r>
            <w:proofErr w:type="spellStart"/>
            <w:r w:rsidR="0025400F">
              <w:rPr>
                <w:rFonts w:eastAsia="Cambria" w:cstheme="minorHAnsi"/>
                <w:lang w:val="es-419"/>
              </w:rPr>
              <w:t>listserv</w:t>
            </w:r>
            <w:proofErr w:type="spellEnd"/>
            <w:r w:rsidR="0025400F">
              <w:rPr>
                <w:rFonts w:eastAsia="Cambria" w:cstheme="minorHAnsi"/>
                <w:lang w:val="es-419"/>
              </w:rPr>
              <w:t>”</w:t>
            </w:r>
            <w:r w:rsidR="0025400F" w:rsidRPr="00EF48E5">
              <w:rPr>
                <w:rFonts w:eastAsia="Cambria" w:cstheme="minorHAnsi"/>
                <w:lang w:val="es-419"/>
              </w:rPr>
              <w:t xml:space="preserve"> del </w:t>
            </w:r>
            <w:r w:rsidRPr="00EF48E5">
              <w:rPr>
                <w:rFonts w:eastAsia="Cambria" w:cstheme="minorHAnsi"/>
                <w:lang w:val="es-419"/>
              </w:rPr>
              <w:t>Caribe</w:t>
            </w:r>
          </w:p>
          <w:p w14:paraId="4E679B0A" w14:textId="77777777" w:rsidR="00EE2871" w:rsidRPr="00EF48E5" w:rsidRDefault="00EE2871" w:rsidP="00EE2871">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 social</w:t>
            </w:r>
          </w:p>
          <w:p w14:paraId="77B3AC24" w14:textId="253C0330" w:rsidR="00EE2871" w:rsidRPr="00EF48E5" w:rsidRDefault="00EB0EE4" w:rsidP="00EE2871">
            <w:pPr>
              <w:pStyle w:val="ListParagraph"/>
              <w:numPr>
                <w:ilvl w:val="0"/>
                <w:numId w:val="18"/>
              </w:numPr>
              <w:spacing w:line="240" w:lineRule="auto"/>
              <w:rPr>
                <w:rFonts w:eastAsia="Cambria" w:cstheme="minorHAnsi"/>
                <w:lang w:val="es-419"/>
              </w:rPr>
            </w:pPr>
            <w:r>
              <w:rPr>
                <w:rFonts w:eastAsia="Cambria" w:cstheme="minorHAnsi"/>
                <w:lang w:val="es-419"/>
              </w:rPr>
              <w:t>P</w:t>
            </w:r>
            <w:r w:rsidR="00EE2871" w:rsidRPr="00EF48E5">
              <w:rPr>
                <w:rFonts w:eastAsia="Cambria" w:cstheme="minorHAnsi"/>
                <w:lang w:val="es-419"/>
              </w:rPr>
              <w:t>ágina web de CANARI</w:t>
            </w:r>
          </w:p>
          <w:p w14:paraId="3A45A0DF" w14:textId="77777777" w:rsidR="00EE2871" w:rsidRPr="00EF48E5" w:rsidRDefault="00EE2871" w:rsidP="00EE2871">
            <w:pPr>
              <w:pStyle w:val="ListParagraph"/>
              <w:numPr>
                <w:ilvl w:val="0"/>
                <w:numId w:val="18"/>
              </w:numPr>
              <w:spacing w:line="240" w:lineRule="auto"/>
              <w:rPr>
                <w:rFonts w:eastAsia="Cambria" w:cstheme="minorHAnsi"/>
                <w:lang w:val="es-419"/>
              </w:rPr>
            </w:pPr>
            <w:r w:rsidRPr="00EF48E5">
              <w:rPr>
                <w:rFonts w:eastAsia="Cambria" w:cstheme="minorHAnsi"/>
                <w:lang w:val="es-419"/>
              </w:rPr>
              <w:t>Bases de datos regionales</w:t>
            </w:r>
          </w:p>
          <w:p w14:paraId="607195C8" w14:textId="77777777" w:rsidR="00F56619" w:rsidRPr="00EF48E5" w:rsidRDefault="00EE2871" w:rsidP="00EE2871">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w:t>
            </w:r>
          </w:p>
          <w:p w14:paraId="5F240DF0" w14:textId="2F57E200" w:rsidR="00EE2871" w:rsidRPr="00EF48E5" w:rsidRDefault="00EE2871" w:rsidP="00EE2871">
            <w:pPr>
              <w:pStyle w:val="ListParagraph"/>
              <w:numPr>
                <w:ilvl w:val="0"/>
                <w:numId w:val="18"/>
              </w:numPr>
              <w:spacing w:line="240" w:lineRule="auto"/>
              <w:rPr>
                <w:rFonts w:eastAsia="Cambria" w:cstheme="minorHAnsi"/>
                <w:lang w:val="es-419"/>
              </w:rPr>
            </w:pPr>
            <w:r w:rsidRPr="00EF48E5">
              <w:rPr>
                <w:rFonts w:eastAsia="Cambria" w:cstheme="minorHAnsi"/>
                <w:lang w:val="es-419"/>
              </w:rPr>
              <w:t>Concesión de pequeñas subvenciones</w:t>
            </w:r>
          </w:p>
        </w:tc>
      </w:tr>
      <w:tr w:rsidR="00F56619" w:rsidRPr="00EF48E5" w14:paraId="0048DAB4" w14:textId="77777777" w:rsidTr="002D103D">
        <w:tc>
          <w:tcPr>
            <w:tcW w:w="2263" w:type="dxa"/>
          </w:tcPr>
          <w:p w14:paraId="7F50D5A0" w14:textId="72E37695" w:rsidR="00F56619" w:rsidRPr="00EF48E5" w:rsidRDefault="00F56619" w:rsidP="00F56619">
            <w:pPr>
              <w:rPr>
                <w:rFonts w:cstheme="minorHAnsi"/>
                <w:lang w:val="es-419"/>
              </w:rPr>
            </w:pPr>
            <w:r w:rsidRPr="00EF48E5">
              <w:rPr>
                <w:rFonts w:cstheme="minorHAnsi"/>
                <w:lang w:val="es-419"/>
              </w:rPr>
              <w:t>Donantes internacionales y organismos intergubernamentales regionales e internacionales</w:t>
            </w:r>
          </w:p>
        </w:tc>
        <w:tc>
          <w:tcPr>
            <w:tcW w:w="7087" w:type="dxa"/>
          </w:tcPr>
          <w:p w14:paraId="3180EB88" w14:textId="244B7885" w:rsidR="00FC514C" w:rsidRPr="00EF48E5" w:rsidRDefault="00FC514C" w:rsidP="00FC514C">
            <w:pPr>
              <w:pStyle w:val="ListParagraph"/>
              <w:numPr>
                <w:ilvl w:val="0"/>
                <w:numId w:val="18"/>
              </w:numPr>
              <w:spacing w:line="240" w:lineRule="auto"/>
              <w:rPr>
                <w:rFonts w:eastAsia="Cambria" w:cstheme="minorHAnsi"/>
                <w:lang w:val="es-419"/>
              </w:rPr>
            </w:pPr>
            <w:r w:rsidRPr="00EF48E5">
              <w:rPr>
                <w:rFonts w:eastAsia="Cambria" w:cstheme="minorHAnsi"/>
                <w:lang w:val="es-419"/>
              </w:rPr>
              <w:t>Reuniones presenciales y virtuales</w:t>
            </w:r>
          </w:p>
          <w:p w14:paraId="7E5B4D92" w14:textId="2F8DEF8A" w:rsidR="00FC514C" w:rsidRPr="00EF48E5" w:rsidRDefault="00EB0EE4" w:rsidP="00FC514C">
            <w:pPr>
              <w:pStyle w:val="ListParagraph"/>
              <w:numPr>
                <w:ilvl w:val="0"/>
                <w:numId w:val="18"/>
              </w:numPr>
              <w:spacing w:line="240" w:lineRule="auto"/>
              <w:rPr>
                <w:rFonts w:eastAsia="Cambria" w:cstheme="minorHAnsi"/>
                <w:lang w:val="es-419"/>
              </w:rPr>
            </w:pPr>
            <w:r>
              <w:rPr>
                <w:rFonts w:eastAsia="Cambria" w:cstheme="minorHAnsi"/>
                <w:lang w:val="es-419"/>
              </w:rPr>
              <w:t>M</w:t>
            </w:r>
            <w:r w:rsidR="00FC514C" w:rsidRPr="00EF48E5">
              <w:rPr>
                <w:rFonts w:eastAsia="Cambria" w:cstheme="minorHAnsi"/>
                <w:lang w:val="es-419"/>
              </w:rPr>
              <w:t>esa redonda de donantes</w:t>
            </w:r>
          </w:p>
          <w:p w14:paraId="39D89BF8" w14:textId="5F2BACB3" w:rsidR="00FC514C" w:rsidRPr="00EF48E5" w:rsidRDefault="00EB0EE4" w:rsidP="00FC514C">
            <w:pPr>
              <w:pStyle w:val="ListParagraph"/>
              <w:numPr>
                <w:ilvl w:val="0"/>
                <w:numId w:val="18"/>
              </w:numPr>
              <w:spacing w:line="240" w:lineRule="auto"/>
              <w:rPr>
                <w:rFonts w:eastAsia="Cambria" w:cstheme="minorHAnsi"/>
                <w:lang w:val="es-419"/>
              </w:rPr>
            </w:pPr>
            <w:r>
              <w:rPr>
                <w:rFonts w:eastAsia="Cambria" w:cstheme="minorHAnsi"/>
                <w:lang w:val="es-419"/>
              </w:rPr>
              <w:t>C</w:t>
            </w:r>
            <w:r w:rsidR="00FC514C" w:rsidRPr="00EF48E5">
              <w:rPr>
                <w:rFonts w:eastAsia="Cambria" w:cstheme="minorHAnsi"/>
                <w:lang w:val="es-419"/>
              </w:rPr>
              <w:t>orreos electrónicos directos</w:t>
            </w:r>
          </w:p>
          <w:p w14:paraId="45E45196" w14:textId="77777777" w:rsidR="00FC514C" w:rsidRPr="00EF48E5" w:rsidRDefault="00FC514C" w:rsidP="00FC514C">
            <w:pPr>
              <w:pStyle w:val="ListParagraph"/>
              <w:numPr>
                <w:ilvl w:val="0"/>
                <w:numId w:val="18"/>
              </w:numPr>
              <w:spacing w:line="240" w:lineRule="auto"/>
              <w:rPr>
                <w:rFonts w:eastAsia="Cambria" w:cstheme="minorHAnsi"/>
                <w:lang w:val="es-419"/>
              </w:rPr>
            </w:pPr>
            <w:r w:rsidRPr="00EF48E5">
              <w:rPr>
                <w:rFonts w:eastAsia="Cambria" w:cstheme="minorHAnsi"/>
                <w:lang w:val="es-419"/>
              </w:rPr>
              <w:t>Participación en las actividades del proyecto</w:t>
            </w:r>
          </w:p>
          <w:p w14:paraId="631AAED2" w14:textId="4FC512B7" w:rsidR="00FC514C" w:rsidRPr="00EF48E5" w:rsidRDefault="00FC514C" w:rsidP="00FC514C">
            <w:pPr>
              <w:pStyle w:val="ListParagraph"/>
              <w:numPr>
                <w:ilvl w:val="0"/>
                <w:numId w:val="18"/>
              </w:numPr>
              <w:spacing w:line="240" w:lineRule="auto"/>
              <w:rPr>
                <w:rFonts w:eastAsia="Cambria" w:cstheme="minorHAnsi"/>
                <w:lang w:val="es-419"/>
              </w:rPr>
            </w:pPr>
            <w:r w:rsidRPr="00EF48E5">
              <w:rPr>
                <w:rFonts w:eastAsia="Cambria" w:cstheme="minorHAnsi"/>
                <w:lang w:val="es-419"/>
              </w:rPr>
              <w:t xml:space="preserve">Publicación en </w:t>
            </w:r>
            <w:r w:rsidR="0025400F">
              <w:rPr>
                <w:rFonts w:eastAsia="Cambria" w:cstheme="minorHAnsi"/>
                <w:lang w:val="es-419"/>
              </w:rPr>
              <w:t>aplicaciones “</w:t>
            </w:r>
            <w:proofErr w:type="spellStart"/>
            <w:r w:rsidR="0025400F">
              <w:rPr>
                <w:rFonts w:eastAsia="Cambria" w:cstheme="minorHAnsi"/>
                <w:lang w:val="es-419"/>
              </w:rPr>
              <w:t>listserv</w:t>
            </w:r>
            <w:proofErr w:type="spellEnd"/>
            <w:r w:rsidR="0025400F">
              <w:rPr>
                <w:rFonts w:eastAsia="Cambria" w:cstheme="minorHAnsi"/>
                <w:lang w:val="es-419"/>
              </w:rPr>
              <w:t>”</w:t>
            </w:r>
            <w:r w:rsidR="0025400F" w:rsidRPr="00EF48E5">
              <w:rPr>
                <w:rFonts w:eastAsia="Cambria" w:cstheme="minorHAnsi"/>
                <w:lang w:val="es-419"/>
              </w:rPr>
              <w:t xml:space="preserve"> del </w:t>
            </w:r>
            <w:r w:rsidRPr="00EF48E5">
              <w:rPr>
                <w:rFonts w:eastAsia="Cambria" w:cstheme="minorHAnsi"/>
                <w:lang w:val="es-419"/>
              </w:rPr>
              <w:t>Caribe</w:t>
            </w:r>
          </w:p>
          <w:p w14:paraId="11B1AB7F" w14:textId="77777777" w:rsidR="00FC514C" w:rsidRPr="00EF48E5" w:rsidRDefault="00FC514C" w:rsidP="00FC514C">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 social</w:t>
            </w:r>
          </w:p>
          <w:p w14:paraId="680CEE9E" w14:textId="29B003F1" w:rsidR="00FC514C" w:rsidRPr="00EF48E5" w:rsidRDefault="00EB0EE4" w:rsidP="00FC514C">
            <w:pPr>
              <w:pStyle w:val="ListParagraph"/>
              <w:numPr>
                <w:ilvl w:val="0"/>
                <w:numId w:val="18"/>
              </w:numPr>
              <w:spacing w:line="240" w:lineRule="auto"/>
              <w:rPr>
                <w:rFonts w:eastAsia="Cambria" w:cstheme="minorHAnsi"/>
                <w:lang w:val="es-419"/>
              </w:rPr>
            </w:pPr>
            <w:r>
              <w:rPr>
                <w:rFonts w:eastAsia="Cambria" w:cstheme="minorHAnsi"/>
                <w:lang w:val="es-419"/>
              </w:rPr>
              <w:t>P</w:t>
            </w:r>
            <w:r w:rsidR="00FC514C" w:rsidRPr="00EF48E5">
              <w:rPr>
                <w:rFonts w:eastAsia="Cambria" w:cstheme="minorHAnsi"/>
                <w:lang w:val="es-419"/>
              </w:rPr>
              <w:t>ágina web de CANARI</w:t>
            </w:r>
          </w:p>
          <w:p w14:paraId="311240C4" w14:textId="77777777" w:rsidR="00FC514C" w:rsidRPr="00EF48E5" w:rsidRDefault="00FC514C" w:rsidP="00FC514C">
            <w:pPr>
              <w:pStyle w:val="ListParagraph"/>
              <w:numPr>
                <w:ilvl w:val="0"/>
                <w:numId w:val="18"/>
              </w:numPr>
              <w:spacing w:line="240" w:lineRule="auto"/>
              <w:rPr>
                <w:rFonts w:eastAsia="Cambria" w:cstheme="minorHAnsi"/>
                <w:lang w:val="es-419"/>
              </w:rPr>
            </w:pPr>
            <w:r w:rsidRPr="00EF48E5">
              <w:rPr>
                <w:rFonts w:eastAsia="Cambria" w:cstheme="minorHAnsi"/>
                <w:lang w:val="es-419"/>
              </w:rPr>
              <w:t>Bases de datos regionales</w:t>
            </w:r>
          </w:p>
          <w:p w14:paraId="5B2046CC" w14:textId="0D09190A" w:rsidR="00F56619" w:rsidRPr="00EF48E5" w:rsidRDefault="00FC514C" w:rsidP="00FC514C">
            <w:pPr>
              <w:pStyle w:val="ListParagraph"/>
              <w:numPr>
                <w:ilvl w:val="0"/>
                <w:numId w:val="18"/>
              </w:numPr>
              <w:spacing w:line="240" w:lineRule="auto"/>
              <w:rPr>
                <w:rFonts w:eastAsia="Cambria" w:cstheme="minorHAnsi"/>
                <w:lang w:val="es-419"/>
              </w:rPr>
            </w:pPr>
            <w:r w:rsidRPr="00EF48E5">
              <w:rPr>
                <w:rFonts w:eastAsia="Cambria" w:cstheme="minorHAnsi"/>
                <w:lang w:val="es-419"/>
              </w:rPr>
              <w:t>Medios de comunicación</w:t>
            </w:r>
          </w:p>
        </w:tc>
      </w:tr>
    </w:tbl>
    <w:p w14:paraId="0C920273" w14:textId="77777777" w:rsidR="00097E93" w:rsidRPr="00EF48E5" w:rsidRDefault="008A2777" w:rsidP="003D2806">
      <w:pPr>
        <w:pStyle w:val="Heading1"/>
        <w:numPr>
          <w:ilvl w:val="0"/>
          <w:numId w:val="1"/>
        </w:numPr>
        <w:rPr>
          <w:lang w:val="es-419"/>
        </w:rPr>
      </w:pPr>
      <w:bookmarkStart w:id="17" w:name="_Toc100398997"/>
      <w:r w:rsidRPr="00EF48E5">
        <w:rPr>
          <w:lang w:val="es-419"/>
        </w:rPr>
        <w:t>Otras actividades de participación</w:t>
      </w:r>
      <w:bookmarkEnd w:id="17"/>
    </w:p>
    <w:p w14:paraId="18E87183" w14:textId="3222A331" w:rsidR="00097E93" w:rsidRPr="00EF48E5" w:rsidRDefault="00097E93" w:rsidP="00097E93">
      <w:pPr>
        <w:spacing w:before="160"/>
        <w:jc w:val="both"/>
        <w:rPr>
          <w:lang w:val="es-419"/>
        </w:rPr>
      </w:pPr>
      <w:r w:rsidRPr="00EF48E5">
        <w:rPr>
          <w:lang w:val="es-419"/>
        </w:rPr>
        <w:t xml:space="preserve">Las consultas y la participación pueden tomar la forma de reuniones individuales, consultas en grupos pequeños, seminarios web, talleres de partes interesadas, intercambios entre pares nacionales o regionales o mesas redondas de donantes (en el caso específico de donantes internacionales y agencias intergubernamentales). Las consultas pueden ser presenciales o virtuales. De hecho, las reuniones virtuales pueden ser una necesidad </w:t>
      </w:r>
      <w:r w:rsidR="00EB0EE4">
        <w:rPr>
          <w:lang w:val="es-419"/>
        </w:rPr>
        <w:t>dada las restricciones de</w:t>
      </w:r>
      <w:r w:rsidRPr="00EF48E5">
        <w:rPr>
          <w:lang w:val="es-419"/>
        </w:rPr>
        <w:t xml:space="preserve"> distanciamiento social, las restricciones de viaje y otras medidas para controlar la transmisión del virus COVID-19. Para cualquier posible consulta presencial, el RIT se asegurará de que el proyecto se adhiera a los protocolos de distanciamiento físico adecuados, como los establecidos por la OMS. Independientemente de las formas de consulta que se utilicen, se prestará atención al uso de los idiomas nacionales y a garantizar que se escuchen las voces de hombres y mujeres. En algunos contextos, esto puede requerir la celebración de consultas separadas para hombres y mujeres. La participación de las partes interesadas también se utilizará para garantizar que todos los grupos vulnerables dentro del área del proyecto sean identificados y consultados.</w:t>
      </w:r>
    </w:p>
    <w:p w14:paraId="28F70D22" w14:textId="0AF9576D" w:rsidR="008A2777" w:rsidRPr="00EF48E5" w:rsidRDefault="00097E93" w:rsidP="0089718F">
      <w:pPr>
        <w:spacing w:before="160"/>
        <w:jc w:val="both"/>
        <w:rPr>
          <w:lang w:val="es-419"/>
        </w:rPr>
      </w:pPr>
      <w:r w:rsidRPr="00EF48E5">
        <w:rPr>
          <w:lang w:val="es-419"/>
        </w:rPr>
        <w:t>En el contexto de COVID-19, el proyecto seguirá la guía de la Nota técnica: "Consultas públicas y participación de las partes interesadas en las operaciones respaldadas por el Banco Mundial cuando existen limitaciones para realizar reuniones públicas, 20 de marzo de 2020".</w:t>
      </w:r>
    </w:p>
    <w:p w14:paraId="2E8A5376" w14:textId="75DB4BF0" w:rsidR="00826A94" w:rsidRPr="00EF48E5" w:rsidRDefault="00826A94" w:rsidP="0089718F">
      <w:pPr>
        <w:spacing w:before="160"/>
        <w:jc w:val="both"/>
        <w:rPr>
          <w:lang w:val="es-419"/>
        </w:rPr>
      </w:pPr>
      <w:r w:rsidRPr="00EF48E5">
        <w:rPr>
          <w:lang w:val="es-419"/>
        </w:rPr>
        <w:t>La consulta a las partes interesadas incluirá métodos apropiados para incorporar las opiniones de los grupos vulnerables identificados, utilizando métodos culturalmente apropiados, con un lenguaje sencillo y no técnico, ilustraciones gráficas y, cuando corresponda, traducciones e interpretaciones. Esto puede incluir tener consultas separadas para ciertos grupos. En el contexto de</w:t>
      </w:r>
      <w:r w:rsidR="00EB0EE4">
        <w:rPr>
          <w:lang w:val="es-419"/>
        </w:rPr>
        <w:t>l</w:t>
      </w:r>
      <w:r w:rsidRPr="00EF48E5">
        <w:rPr>
          <w:lang w:val="es-419"/>
        </w:rPr>
        <w:t xml:space="preserve"> COVID-19, se tendrá en cuenta el acceso potencialmente más limitado de los grupos vulnerables a la tecnología requerida para participar en consultas virtuales (por ejemplo, teléfonos celulares, dispositivos con acceso a Internet, etc.). Las consideraciones de accesibilidad significan que el tiempo también se tendrá en cuenta en la programación de actividades.</w:t>
      </w:r>
    </w:p>
    <w:p w14:paraId="3E29A153" w14:textId="77777777" w:rsidR="0089718F" w:rsidRPr="00EF48E5" w:rsidRDefault="008A2777" w:rsidP="003D2806">
      <w:pPr>
        <w:pStyle w:val="Heading1"/>
        <w:numPr>
          <w:ilvl w:val="0"/>
          <w:numId w:val="1"/>
        </w:numPr>
        <w:rPr>
          <w:lang w:val="es-419"/>
        </w:rPr>
      </w:pPr>
      <w:bookmarkStart w:id="18" w:name="_Toc100398998"/>
      <w:r w:rsidRPr="00EF48E5">
        <w:rPr>
          <w:lang w:val="es-419"/>
        </w:rPr>
        <w:t>Cronograma y recursos</w:t>
      </w:r>
      <w:bookmarkEnd w:id="18"/>
    </w:p>
    <w:p w14:paraId="42AFF537" w14:textId="587C1322" w:rsidR="00155674" w:rsidRPr="00EF48E5" w:rsidRDefault="00155674" w:rsidP="0089718F">
      <w:pPr>
        <w:spacing w:after="0"/>
        <w:jc w:val="both"/>
        <w:rPr>
          <w:rFonts w:cstheme="minorHAnsi"/>
          <w:lang w:val="es-419"/>
        </w:rPr>
      </w:pPr>
      <w:r w:rsidRPr="00EF48E5">
        <w:rPr>
          <w:rFonts w:cstheme="minorHAnsi"/>
          <w:lang w:val="es-419"/>
        </w:rPr>
        <w:t xml:space="preserve">La participación de las partes interesadas es un elemento integral de este proyecto, y las actividades específicas para involucrar a cada grupo de partes interesadas se detallarán en la estrategia de participación y comunicación del RIT desarrollada dentro de los primeros tres meses del proyecto. La Tabla </w:t>
      </w:r>
      <w:r w:rsidRPr="00EF48E5">
        <w:rPr>
          <w:rFonts w:cstheme="minorHAnsi"/>
          <w:lang w:val="es-419"/>
        </w:rPr>
        <w:lastRenderedPageBreak/>
        <w:t>3 a continuación describe el cronograma indicativo para la implementación del SEP. El presupuesto para la implementación de SEP se ha incorporado al presupuesto del proyecto RIT.</w:t>
      </w:r>
    </w:p>
    <w:p w14:paraId="16F15D05" w14:textId="77777777" w:rsidR="00D27815" w:rsidRPr="00EF012F" w:rsidRDefault="00D27815" w:rsidP="0089718F">
      <w:pPr>
        <w:spacing w:after="0"/>
        <w:jc w:val="both"/>
        <w:rPr>
          <w:rFonts w:cstheme="minorHAnsi"/>
          <w:sz w:val="16"/>
          <w:szCs w:val="16"/>
          <w:lang w:val="es-419"/>
        </w:rPr>
      </w:pPr>
    </w:p>
    <w:p w14:paraId="6D1A6445" w14:textId="77F0F66B" w:rsidR="00155674" w:rsidRPr="00EF48E5" w:rsidRDefault="00D27815" w:rsidP="0089718F">
      <w:pPr>
        <w:spacing w:after="0"/>
        <w:jc w:val="both"/>
        <w:rPr>
          <w:rFonts w:cstheme="minorHAnsi"/>
          <w:b/>
          <w:bCs/>
          <w:lang w:val="es-419"/>
        </w:rPr>
      </w:pPr>
      <w:r w:rsidRPr="00EF48E5">
        <w:rPr>
          <w:rFonts w:cstheme="minorHAnsi"/>
          <w:b/>
          <w:bCs/>
          <w:lang w:val="es-419"/>
        </w:rPr>
        <w:t>Tabla 3: Cronograma indicativo para la implementación del SEP</w:t>
      </w:r>
    </w:p>
    <w:tbl>
      <w:tblPr>
        <w:tblStyle w:val="TableGrid"/>
        <w:tblW w:w="9023" w:type="dxa"/>
        <w:tblLook w:val="04A0" w:firstRow="1" w:lastRow="0" w:firstColumn="1" w:lastColumn="0" w:noHBand="0" w:noVBand="1"/>
      </w:tblPr>
      <w:tblGrid>
        <w:gridCol w:w="2875"/>
        <w:gridCol w:w="3499"/>
        <w:gridCol w:w="2649"/>
      </w:tblGrid>
      <w:tr w:rsidR="008A2D33" w:rsidRPr="00EF48E5" w14:paraId="64F3A208" w14:textId="09320120" w:rsidTr="008A2D33">
        <w:trPr>
          <w:cantSplit/>
          <w:tblHeader/>
        </w:trPr>
        <w:tc>
          <w:tcPr>
            <w:tcW w:w="2875" w:type="dxa"/>
          </w:tcPr>
          <w:p w14:paraId="5E994493" w14:textId="77777777" w:rsidR="008A2D33" w:rsidRPr="00EF48E5" w:rsidRDefault="008A2D33" w:rsidP="001B362D">
            <w:pPr>
              <w:rPr>
                <w:b/>
                <w:bCs/>
                <w:lang w:val="es-419"/>
              </w:rPr>
            </w:pPr>
            <w:r w:rsidRPr="00EF48E5">
              <w:rPr>
                <w:b/>
                <w:bCs/>
                <w:lang w:val="es-419"/>
              </w:rPr>
              <w:t>Acción</w:t>
            </w:r>
          </w:p>
        </w:tc>
        <w:tc>
          <w:tcPr>
            <w:tcW w:w="3499" w:type="dxa"/>
          </w:tcPr>
          <w:p w14:paraId="38E8AB7F" w14:textId="77777777" w:rsidR="008A2D33" w:rsidRPr="00EF48E5" w:rsidRDefault="008A2D33" w:rsidP="001B362D">
            <w:pPr>
              <w:rPr>
                <w:b/>
                <w:bCs/>
                <w:lang w:val="es-419"/>
              </w:rPr>
            </w:pPr>
            <w:r w:rsidRPr="00EF48E5">
              <w:rPr>
                <w:b/>
                <w:bCs/>
                <w:lang w:val="es-419"/>
              </w:rPr>
              <w:t>Cronograma de implementación</w:t>
            </w:r>
          </w:p>
        </w:tc>
        <w:tc>
          <w:tcPr>
            <w:tcW w:w="2649" w:type="dxa"/>
          </w:tcPr>
          <w:p w14:paraId="5E61E1CB" w14:textId="2F007EB3" w:rsidR="008A2D33" w:rsidRPr="00EF48E5" w:rsidRDefault="008A2D33" w:rsidP="001B362D">
            <w:pPr>
              <w:rPr>
                <w:b/>
                <w:bCs/>
                <w:lang w:val="es-419"/>
              </w:rPr>
            </w:pPr>
            <w:r w:rsidRPr="00EF48E5">
              <w:rPr>
                <w:b/>
                <w:bCs/>
                <w:lang w:val="es-419"/>
              </w:rPr>
              <w:t>Costo Estimado (USD)</w:t>
            </w:r>
          </w:p>
        </w:tc>
      </w:tr>
      <w:tr w:rsidR="008A2D33" w:rsidRPr="00EF48E5" w14:paraId="633A6584" w14:textId="6C201949" w:rsidTr="008A2D33">
        <w:trPr>
          <w:cantSplit/>
        </w:trPr>
        <w:tc>
          <w:tcPr>
            <w:tcW w:w="2875" w:type="dxa"/>
          </w:tcPr>
          <w:p w14:paraId="42592C62" w14:textId="4F74FE4E" w:rsidR="008A2D33" w:rsidRPr="00EF48E5" w:rsidRDefault="008A2D33" w:rsidP="001B362D">
            <w:pPr>
              <w:rPr>
                <w:lang w:val="es-419"/>
              </w:rPr>
            </w:pPr>
            <w:r w:rsidRPr="00EF48E5">
              <w:rPr>
                <w:lang w:val="es-419"/>
              </w:rPr>
              <w:t xml:space="preserve">Lanzamiento de la segunda fase de inversión del </w:t>
            </w:r>
            <w:proofErr w:type="spellStart"/>
            <w:r w:rsidRPr="00EF48E5">
              <w:rPr>
                <w:lang w:val="es-419"/>
              </w:rPr>
              <w:t>Hotspot</w:t>
            </w:r>
            <w:proofErr w:type="spellEnd"/>
            <w:r w:rsidRPr="00EF48E5">
              <w:rPr>
                <w:lang w:val="es-419"/>
              </w:rPr>
              <w:t xml:space="preserve"> de Biodiversidad de las Islas del Caribe del CEPF</w:t>
            </w:r>
          </w:p>
        </w:tc>
        <w:tc>
          <w:tcPr>
            <w:tcW w:w="3499" w:type="dxa"/>
          </w:tcPr>
          <w:p w14:paraId="624CE7AD" w14:textId="77777777" w:rsidR="008A2D33" w:rsidRPr="00EF48E5" w:rsidRDefault="008A2D33" w:rsidP="001B362D">
            <w:pPr>
              <w:rPr>
                <w:color w:val="FF0000"/>
                <w:lang w:val="es-419"/>
              </w:rPr>
            </w:pPr>
            <w:r w:rsidRPr="00EF48E5">
              <w:rPr>
                <w:lang w:val="es-419"/>
              </w:rPr>
              <w:t>Dentro de los 120 días del inicio del proyecto RIT</w:t>
            </w:r>
          </w:p>
          <w:p w14:paraId="7208763A" w14:textId="630BACF8" w:rsidR="008A2D33" w:rsidRPr="00EF48E5" w:rsidRDefault="008A2D33" w:rsidP="001B362D">
            <w:pPr>
              <w:rPr>
                <w:color w:val="FF0000"/>
                <w:lang w:val="es-419"/>
              </w:rPr>
            </w:pPr>
          </w:p>
        </w:tc>
        <w:tc>
          <w:tcPr>
            <w:tcW w:w="2649" w:type="dxa"/>
          </w:tcPr>
          <w:p w14:paraId="059BE1F3" w14:textId="5FBA1C4D" w:rsidR="008A2D33" w:rsidRPr="000B4607" w:rsidRDefault="008A2D33" w:rsidP="001B362D">
            <w:pPr>
              <w:rPr>
                <w:lang w:val="es-419"/>
              </w:rPr>
            </w:pPr>
            <w:r w:rsidRPr="00EF48E5">
              <w:rPr>
                <w:lang w:val="es-419"/>
              </w:rPr>
              <w:t>Tiempo del personal de RIT</w:t>
            </w:r>
            <w:r w:rsidRPr="000B4607">
              <w:rPr>
                <w:lang w:val="es-419"/>
              </w:rPr>
              <w:t xml:space="preserve">: </w:t>
            </w:r>
            <w:r w:rsidR="00BC164E">
              <w:rPr>
                <w:lang w:val="es-419"/>
              </w:rPr>
              <w:t>aprox</w:t>
            </w:r>
            <w:r w:rsidRPr="000B4607">
              <w:rPr>
                <w:lang w:val="es-419"/>
              </w:rPr>
              <w:t>. $ 16,000</w:t>
            </w:r>
          </w:p>
          <w:p w14:paraId="2676FEFB" w14:textId="6C5E81BF" w:rsidR="008A2D33" w:rsidRPr="00EF48E5" w:rsidRDefault="008A2D33" w:rsidP="001B362D">
            <w:pPr>
              <w:rPr>
                <w:lang w:val="es-419"/>
              </w:rPr>
            </w:pPr>
            <w:r w:rsidRPr="000B4607">
              <w:rPr>
                <w:lang w:val="es-419"/>
              </w:rPr>
              <w:t xml:space="preserve">Servicios de traducción: </w:t>
            </w:r>
            <w:r w:rsidR="00BC164E">
              <w:rPr>
                <w:lang w:val="es-419"/>
              </w:rPr>
              <w:t>aprox</w:t>
            </w:r>
            <w:r w:rsidRPr="000B4607">
              <w:rPr>
                <w:lang w:val="es-419"/>
              </w:rPr>
              <w:t>.</w:t>
            </w:r>
            <w:r w:rsidR="006E143E">
              <w:rPr>
                <w:lang w:val="es-419"/>
              </w:rPr>
              <w:t xml:space="preserve"> </w:t>
            </w:r>
            <w:r w:rsidRPr="000B4607">
              <w:rPr>
                <w:lang w:val="es-419"/>
              </w:rPr>
              <w:t>$2,000</w:t>
            </w:r>
          </w:p>
        </w:tc>
      </w:tr>
      <w:tr w:rsidR="008A2D33" w:rsidRPr="00EF48E5" w14:paraId="24A51FD4" w14:textId="3E20A798" w:rsidTr="008A2D33">
        <w:trPr>
          <w:cantSplit/>
        </w:trPr>
        <w:tc>
          <w:tcPr>
            <w:tcW w:w="2875" w:type="dxa"/>
          </w:tcPr>
          <w:p w14:paraId="33F8E131" w14:textId="49A5FF4F" w:rsidR="008A2D33" w:rsidRPr="00EF48E5" w:rsidRDefault="008A2D33" w:rsidP="001B362D">
            <w:pPr>
              <w:rPr>
                <w:lang w:val="es-419"/>
              </w:rPr>
            </w:pPr>
            <w:r w:rsidRPr="00EF48E5">
              <w:rPr>
                <w:lang w:val="es-419"/>
              </w:rPr>
              <w:t>Reuniones virtuales y presenciales, intercambios entre pares, mesas redondas de donantes, talleres y seminarios web con las partes interesadas</w:t>
            </w:r>
          </w:p>
        </w:tc>
        <w:tc>
          <w:tcPr>
            <w:tcW w:w="3499" w:type="dxa"/>
          </w:tcPr>
          <w:p w14:paraId="6DE3F2C2" w14:textId="6AE1EC8B" w:rsidR="008A2D33" w:rsidRPr="00EF48E5" w:rsidRDefault="008A2D33" w:rsidP="001B362D">
            <w:pPr>
              <w:rPr>
                <w:lang w:val="es-419"/>
              </w:rPr>
            </w:pPr>
            <w:r w:rsidRPr="00EF48E5">
              <w:rPr>
                <w:lang w:val="es-419"/>
              </w:rPr>
              <w:t>A lo largo del proyecto</w:t>
            </w:r>
          </w:p>
        </w:tc>
        <w:tc>
          <w:tcPr>
            <w:tcW w:w="2649" w:type="dxa"/>
          </w:tcPr>
          <w:p w14:paraId="05CA45D8" w14:textId="78FD3EC7" w:rsidR="008A2D33" w:rsidRPr="00EF48E5" w:rsidRDefault="00220431" w:rsidP="001B362D">
            <w:pPr>
              <w:rPr>
                <w:lang w:val="es-419"/>
              </w:rPr>
            </w:pPr>
            <w:r w:rsidRPr="00EF48E5">
              <w:rPr>
                <w:lang w:val="es-419"/>
              </w:rPr>
              <w:t>25</w:t>
            </w:r>
            <w:r w:rsidR="00EB0EE4">
              <w:rPr>
                <w:lang w:val="es-419"/>
              </w:rPr>
              <w:t xml:space="preserve"> </w:t>
            </w:r>
            <w:r w:rsidRPr="00EF48E5">
              <w:rPr>
                <w:lang w:val="es-419"/>
              </w:rPr>
              <w:t>% del presupuesto de RIT: $ 375,000</w:t>
            </w:r>
          </w:p>
        </w:tc>
      </w:tr>
      <w:tr w:rsidR="008A2D33" w:rsidRPr="00EF48E5" w14:paraId="5B2B3C8A" w14:textId="3BE617DB" w:rsidTr="008A2D33">
        <w:trPr>
          <w:cantSplit/>
        </w:trPr>
        <w:tc>
          <w:tcPr>
            <w:tcW w:w="2875" w:type="dxa"/>
          </w:tcPr>
          <w:p w14:paraId="01C3AF65" w14:textId="649D6F85" w:rsidR="008A2D33" w:rsidRPr="00EF48E5" w:rsidRDefault="008A2D33" w:rsidP="001B362D">
            <w:pPr>
              <w:rPr>
                <w:lang w:val="es-419"/>
              </w:rPr>
            </w:pPr>
            <w:r w:rsidRPr="00EF48E5">
              <w:rPr>
                <w:lang w:val="es-419"/>
              </w:rPr>
              <w:t>Selección de solicitudes de subproyectos para pequeñas subvenciones</w:t>
            </w:r>
          </w:p>
        </w:tc>
        <w:tc>
          <w:tcPr>
            <w:tcW w:w="3499" w:type="dxa"/>
          </w:tcPr>
          <w:p w14:paraId="4B2C5E61" w14:textId="77777777" w:rsidR="008A2D33" w:rsidRPr="00EF48E5" w:rsidRDefault="008A2D33" w:rsidP="001B362D">
            <w:pPr>
              <w:rPr>
                <w:lang w:val="es-419"/>
              </w:rPr>
            </w:pPr>
            <w:r w:rsidRPr="00EF48E5">
              <w:rPr>
                <w:lang w:val="es-419"/>
              </w:rPr>
              <w:t>Dentro de los 90 días siguientes a la fecha límite de cada convocatoria de propuestas</w:t>
            </w:r>
          </w:p>
        </w:tc>
        <w:tc>
          <w:tcPr>
            <w:tcW w:w="2649" w:type="dxa"/>
          </w:tcPr>
          <w:p w14:paraId="052E02BB" w14:textId="265E5D98" w:rsidR="008A2D33" w:rsidRPr="00EF48E5" w:rsidRDefault="00A52638" w:rsidP="001B362D">
            <w:pPr>
              <w:rPr>
                <w:lang w:val="es-419"/>
              </w:rPr>
            </w:pPr>
            <w:r w:rsidRPr="00EF48E5">
              <w:rPr>
                <w:lang w:val="es-419"/>
              </w:rPr>
              <w:t>5</w:t>
            </w:r>
            <w:r w:rsidR="00EB0EE4">
              <w:rPr>
                <w:lang w:val="es-419"/>
              </w:rPr>
              <w:t xml:space="preserve"> </w:t>
            </w:r>
            <w:r w:rsidRPr="00EF48E5">
              <w:rPr>
                <w:lang w:val="es-419"/>
              </w:rPr>
              <w:t>% del presupuesto de RIT: $ 75,000</w:t>
            </w:r>
          </w:p>
        </w:tc>
      </w:tr>
      <w:tr w:rsidR="008A2D33" w:rsidRPr="00EF48E5" w14:paraId="578BBB37" w14:textId="512B6F10" w:rsidTr="008A2D33">
        <w:trPr>
          <w:cantSplit/>
        </w:trPr>
        <w:tc>
          <w:tcPr>
            <w:tcW w:w="2875" w:type="dxa"/>
          </w:tcPr>
          <w:p w14:paraId="24BE5D91" w14:textId="77777777" w:rsidR="008A2D33" w:rsidRPr="00EF48E5" w:rsidRDefault="008A2D33" w:rsidP="001B362D">
            <w:pPr>
              <w:rPr>
                <w:lang w:val="es-419"/>
              </w:rPr>
            </w:pPr>
            <w:r w:rsidRPr="00EF48E5">
              <w:rPr>
                <w:lang w:val="es-419"/>
              </w:rPr>
              <w:t xml:space="preserve">Provisión de orientación a los </w:t>
            </w:r>
            <w:proofErr w:type="spellStart"/>
            <w:r w:rsidRPr="00EF48E5">
              <w:rPr>
                <w:lang w:val="es-419"/>
              </w:rPr>
              <w:t>sub-beneficiarios</w:t>
            </w:r>
            <w:proofErr w:type="spellEnd"/>
            <w:r w:rsidRPr="00EF48E5">
              <w:rPr>
                <w:lang w:val="es-419"/>
              </w:rPr>
              <w:t xml:space="preserve"> sobre impactos/riesgos y medidas de mitigación, incluida la preparación del SEP</w:t>
            </w:r>
          </w:p>
        </w:tc>
        <w:tc>
          <w:tcPr>
            <w:tcW w:w="3499" w:type="dxa"/>
          </w:tcPr>
          <w:p w14:paraId="36183893" w14:textId="77777777" w:rsidR="008A2D33" w:rsidRPr="00EF48E5" w:rsidRDefault="008A2D33" w:rsidP="001B362D">
            <w:pPr>
              <w:rPr>
                <w:lang w:val="es-419"/>
              </w:rPr>
            </w:pPr>
            <w:r w:rsidRPr="00EF48E5">
              <w:rPr>
                <w:lang w:val="es-419"/>
              </w:rPr>
              <w:t>Dentro de los 120 días siguientes a la fecha límite de cada convocatoria de propuestas</w:t>
            </w:r>
          </w:p>
        </w:tc>
        <w:tc>
          <w:tcPr>
            <w:tcW w:w="2649" w:type="dxa"/>
          </w:tcPr>
          <w:p w14:paraId="0A509C52" w14:textId="0D394918" w:rsidR="008A2D33" w:rsidRPr="00EF48E5" w:rsidRDefault="00A52638" w:rsidP="001B362D">
            <w:pPr>
              <w:rPr>
                <w:lang w:val="es-419"/>
              </w:rPr>
            </w:pPr>
            <w:r w:rsidRPr="00EF48E5">
              <w:rPr>
                <w:lang w:val="es-419"/>
              </w:rPr>
              <w:t>5</w:t>
            </w:r>
            <w:r w:rsidR="00EB0EE4">
              <w:rPr>
                <w:lang w:val="es-419"/>
              </w:rPr>
              <w:t xml:space="preserve"> </w:t>
            </w:r>
            <w:r w:rsidRPr="00EF48E5">
              <w:rPr>
                <w:lang w:val="es-419"/>
              </w:rPr>
              <w:t>% del presupuesto de RIT: $ 75,000</w:t>
            </w:r>
          </w:p>
        </w:tc>
      </w:tr>
      <w:tr w:rsidR="008A2D33" w:rsidRPr="00EF48E5" w14:paraId="16426A30" w14:textId="5189B1A8" w:rsidTr="008A2D33">
        <w:trPr>
          <w:cantSplit/>
        </w:trPr>
        <w:tc>
          <w:tcPr>
            <w:tcW w:w="2875" w:type="dxa"/>
          </w:tcPr>
          <w:p w14:paraId="269A028D" w14:textId="77777777" w:rsidR="008A2D33" w:rsidRPr="00EF48E5" w:rsidRDefault="008A2D33" w:rsidP="001B362D">
            <w:pPr>
              <w:rPr>
                <w:lang w:val="es-419"/>
              </w:rPr>
            </w:pPr>
            <w:r w:rsidRPr="00EF48E5">
              <w:rPr>
                <w:lang w:val="es-419"/>
              </w:rPr>
              <w:t>Revisión de quejas, incluidas visitas de campo para establecer hechos y monitorear la implementación de la respuesta acordada</w:t>
            </w:r>
          </w:p>
        </w:tc>
        <w:tc>
          <w:tcPr>
            <w:tcW w:w="3499" w:type="dxa"/>
          </w:tcPr>
          <w:p w14:paraId="7D609F54" w14:textId="77777777" w:rsidR="008A2D33" w:rsidRPr="00EF48E5" w:rsidRDefault="008A2D33" w:rsidP="001B362D">
            <w:pPr>
              <w:rPr>
                <w:lang w:val="es-419"/>
              </w:rPr>
            </w:pPr>
            <w:r w:rsidRPr="00EF48E5">
              <w:rPr>
                <w:lang w:val="es-419"/>
              </w:rPr>
              <w:t>Revisión inicial dentro de los 5 días hábiles siguientes a la recepción; visita de campo (si se requiere) dentro de los 90 días posteriores a la recepción</w:t>
            </w:r>
          </w:p>
        </w:tc>
        <w:tc>
          <w:tcPr>
            <w:tcW w:w="2649" w:type="dxa"/>
          </w:tcPr>
          <w:p w14:paraId="2A7158E4" w14:textId="69B5CC06" w:rsidR="008A2D33" w:rsidRPr="00EF48E5" w:rsidRDefault="00A52638" w:rsidP="001B362D">
            <w:pPr>
              <w:rPr>
                <w:lang w:val="es-419"/>
              </w:rPr>
            </w:pPr>
            <w:r w:rsidRPr="00EF48E5">
              <w:rPr>
                <w:lang w:val="es-419"/>
              </w:rPr>
              <w:t>2</w:t>
            </w:r>
            <w:r w:rsidR="00EB0EE4">
              <w:rPr>
                <w:lang w:val="es-419"/>
              </w:rPr>
              <w:t xml:space="preserve"> </w:t>
            </w:r>
            <w:r w:rsidRPr="00EF48E5">
              <w:rPr>
                <w:lang w:val="es-419"/>
              </w:rPr>
              <w:t>% del presupuesto de RIT: $ 30,000</w:t>
            </w:r>
          </w:p>
        </w:tc>
      </w:tr>
      <w:tr w:rsidR="008A2D33" w:rsidRPr="00EF48E5" w14:paraId="725C2368" w14:textId="596BFB04" w:rsidTr="008A2D33">
        <w:trPr>
          <w:cantSplit/>
        </w:trPr>
        <w:tc>
          <w:tcPr>
            <w:tcW w:w="2875" w:type="dxa"/>
          </w:tcPr>
          <w:p w14:paraId="0CF077A0" w14:textId="77777777" w:rsidR="008A2D33" w:rsidRPr="00EF48E5" w:rsidRDefault="008A2D33" w:rsidP="001B362D">
            <w:pPr>
              <w:rPr>
                <w:lang w:val="es-419"/>
              </w:rPr>
            </w:pPr>
            <w:r w:rsidRPr="00EF48E5">
              <w:rPr>
                <w:lang w:val="es-419"/>
              </w:rPr>
              <w:t xml:space="preserve">Revisión de los informes de monitoreo ambiental y social presentados por los </w:t>
            </w:r>
            <w:proofErr w:type="spellStart"/>
            <w:r w:rsidRPr="00EF48E5">
              <w:rPr>
                <w:lang w:val="es-419"/>
              </w:rPr>
              <w:t>sub-beneficiarios</w:t>
            </w:r>
            <w:proofErr w:type="spellEnd"/>
          </w:p>
        </w:tc>
        <w:tc>
          <w:tcPr>
            <w:tcW w:w="3499" w:type="dxa"/>
          </w:tcPr>
          <w:p w14:paraId="0029F3D8" w14:textId="77777777" w:rsidR="008A2D33" w:rsidRPr="00EF48E5" w:rsidRDefault="008A2D33" w:rsidP="001B362D">
            <w:pPr>
              <w:rPr>
                <w:lang w:val="es-419"/>
              </w:rPr>
            </w:pPr>
            <w:r w:rsidRPr="00EF48E5">
              <w:rPr>
                <w:lang w:val="es-419"/>
              </w:rPr>
              <w:t>Dentro de los 30 días de la presentación del informe</w:t>
            </w:r>
          </w:p>
        </w:tc>
        <w:tc>
          <w:tcPr>
            <w:tcW w:w="2649" w:type="dxa"/>
          </w:tcPr>
          <w:p w14:paraId="1E89C0A4" w14:textId="7E60E5C2" w:rsidR="008A2D33" w:rsidRPr="00EF48E5" w:rsidRDefault="00A52638" w:rsidP="001B362D">
            <w:pPr>
              <w:rPr>
                <w:lang w:val="es-419"/>
              </w:rPr>
            </w:pPr>
            <w:r w:rsidRPr="00EF48E5">
              <w:rPr>
                <w:lang w:val="es-419"/>
              </w:rPr>
              <w:t>3</w:t>
            </w:r>
            <w:r w:rsidR="00EB0EE4">
              <w:rPr>
                <w:lang w:val="es-419"/>
              </w:rPr>
              <w:t xml:space="preserve"> </w:t>
            </w:r>
            <w:r w:rsidRPr="00EF48E5">
              <w:rPr>
                <w:lang w:val="es-419"/>
              </w:rPr>
              <w:t>% del presupuesto de RIT: $ 45,000</w:t>
            </w:r>
          </w:p>
        </w:tc>
      </w:tr>
      <w:tr w:rsidR="008A2D33" w:rsidRPr="00EF48E5" w14:paraId="7E9F2130" w14:textId="25B0148B" w:rsidTr="008A2D33">
        <w:trPr>
          <w:cantSplit/>
        </w:trPr>
        <w:tc>
          <w:tcPr>
            <w:tcW w:w="2875" w:type="dxa"/>
          </w:tcPr>
          <w:p w14:paraId="53C742F1" w14:textId="77777777" w:rsidR="008A2D33" w:rsidRPr="00EF48E5" w:rsidRDefault="008A2D33" w:rsidP="001B362D">
            <w:pPr>
              <w:rPr>
                <w:lang w:val="es-419"/>
              </w:rPr>
            </w:pPr>
            <w:r w:rsidRPr="00EF48E5">
              <w:rPr>
                <w:lang w:val="es-419"/>
              </w:rPr>
              <w:t>Visitas de campo a subproyectos seleccionados</w:t>
            </w:r>
          </w:p>
        </w:tc>
        <w:tc>
          <w:tcPr>
            <w:tcW w:w="3499" w:type="dxa"/>
          </w:tcPr>
          <w:p w14:paraId="1E6002A0" w14:textId="77777777" w:rsidR="008A2D33" w:rsidRPr="00EF48E5" w:rsidRDefault="008A2D33" w:rsidP="001B362D">
            <w:pPr>
              <w:rPr>
                <w:lang w:val="es-419"/>
              </w:rPr>
            </w:pPr>
            <w:r w:rsidRPr="00EF48E5">
              <w:rPr>
                <w:lang w:val="es-419"/>
              </w:rPr>
              <w:t>Desde el segundo año del proyecto en adelante</w:t>
            </w:r>
          </w:p>
        </w:tc>
        <w:tc>
          <w:tcPr>
            <w:tcW w:w="2649" w:type="dxa"/>
          </w:tcPr>
          <w:p w14:paraId="6F10DE7A" w14:textId="642C5682" w:rsidR="00B21F9F" w:rsidRPr="00EF48E5" w:rsidRDefault="00A52638" w:rsidP="001B362D">
            <w:pPr>
              <w:rPr>
                <w:lang w:val="es-419"/>
              </w:rPr>
            </w:pPr>
            <w:r w:rsidRPr="00EF48E5">
              <w:rPr>
                <w:lang w:val="es-419"/>
              </w:rPr>
              <w:t>15</w:t>
            </w:r>
            <w:r w:rsidR="00EF012F">
              <w:rPr>
                <w:lang w:val="es-419"/>
              </w:rPr>
              <w:t xml:space="preserve"> </w:t>
            </w:r>
            <w:r w:rsidRPr="00EF48E5">
              <w:rPr>
                <w:lang w:val="es-419"/>
              </w:rPr>
              <w:t>% del presupuesto de RIT: $ 225,000</w:t>
            </w:r>
          </w:p>
        </w:tc>
      </w:tr>
      <w:tr w:rsidR="008A2D33" w:rsidRPr="00EF48E5" w14:paraId="6A94BA04" w14:textId="7533E12F" w:rsidTr="008A2D33">
        <w:trPr>
          <w:cantSplit/>
        </w:trPr>
        <w:tc>
          <w:tcPr>
            <w:tcW w:w="2875" w:type="dxa"/>
          </w:tcPr>
          <w:p w14:paraId="39C91C35" w14:textId="77777777" w:rsidR="008A2D33" w:rsidRPr="00EF48E5" w:rsidRDefault="008A2D33" w:rsidP="001B362D">
            <w:pPr>
              <w:rPr>
                <w:lang w:val="es-419"/>
              </w:rPr>
            </w:pPr>
            <w:r w:rsidRPr="00EF48E5">
              <w:rPr>
                <w:lang w:val="es-419"/>
              </w:rPr>
              <w:t>Monitoreo de cuentas de correo electrónico de quejas</w:t>
            </w:r>
          </w:p>
        </w:tc>
        <w:tc>
          <w:tcPr>
            <w:tcW w:w="3499" w:type="dxa"/>
          </w:tcPr>
          <w:p w14:paraId="734BFB23" w14:textId="77777777" w:rsidR="008A2D33" w:rsidRPr="00EF48E5" w:rsidRDefault="008A2D33" w:rsidP="001B362D">
            <w:pPr>
              <w:rPr>
                <w:lang w:val="es-419"/>
              </w:rPr>
            </w:pPr>
            <w:r w:rsidRPr="00EF48E5">
              <w:rPr>
                <w:lang w:val="es-419"/>
              </w:rPr>
              <w:t>A lo largo del proyecto</w:t>
            </w:r>
          </w:p>
        </w:tc>
        <w:tc>
          <w:tcPr>
            <w:tcW w:w="2649" w:type="dxa"/>
          </w:tcPr>
          <w:p w14:paraId="6252B372" w14:textId="159B06B9" w:rsidR="008A2D33" w:rsidRPr="00EF48E5" w:rsidRDefault="00EF012F" w:rsidP="001B362D">
            <w:pPr>
              <w:rPr>
                <w:lang w:val="es-419"/>
              </w:rPr>
            </w:pPr>
            <w:r>
              <w:rPr>
                <w:lang w:val="es-419"/>
              </w:rPr>
              <w:t>No significativo</w:t>
            </w:r>
          </w:p>
        </w:tc>
      </w:tr>
      <w:tr w:rsidR="008A2D33" w:rsidRPr="00EF48E5" w14:paraId="7C3DE399" w14:textId="19BB017F" w:rsidTr="008A2D33">
        <w:trPr>
          <w:cantSplit/>
        </w:trPr>
        <w:tc>
          <w:tcPr>
            <w:tcW w:w="2875" w:type="dxa"/>
          </w:tcPr>
          <w:p w14:paraId="66B11F37" w14:textId="77777777" w:rsidR="008A2D33" w:rsidRPr="00EF48E5" w:rsidRDefault="008A2D33" w:rsidP="001B362D">
            <w:pPr>
              <w:rPr>
                <w:lang w:val="es-419"/>
              </w:rPr>
            </w:pPr>
            <w:r w:rsidRPr="00EF48E5">
              <w:rPr>
                <w:lang w:val="es-419"/>
              </w:rPr>
              <w:t xml:space="preserve">Revisión de los informes finales de finalización presentados por los </w:t>
            </w:r>
            <w:proofErr w:type="spellStart"/>
            <w:r w:rsidRPr="00EF48E5">
              <w:rPr>
                <w:lang w:val="es-419"/>
              </w:rPr>
              <w:t>sub-beneficiarios</w:t>
            </w:r>
            <w:proofErr w:type="spellEnd"/>
          </w:p>
        </w:tc>
        <w:tc>
          <w:tcPr>
            <w:tcW w:w="3499" w:type="dxa"/>
          </w:tcPr>
          <w:p w14:paraId="3407732C" w14:textId="77777777" w:rsidR="008A2D33" w:rsidRPr="00EF48E5" w:rsidRDefault="008A2D33" w:rsidP="001B362D">
            <w:pPr>
              <w:rPr>
                <w:lang w:val="es-419"/>
              </w:rPr>
            </w:pPr>
            <w:r w:rsidRPr="00EF48E5">
              <w:rPr>
                <w:lang w:val="es-419"/>
              </w:rPr>
              <w:t>Dentro de los 30 días de la presentación del informe</w:t>
            </w:r>
          </w:p>
        </w:tc>
        <w:tc>
          <w:tcPr>
            <w:tcW w:w="2649" w:type="dxa"/>
          </w:tcPr>
          <w:p w14:paraId="363519E3" w14:textId="775DAB8A" w:rsidR="008A2D33" w:rsidRPr="00EF48E5" w:rsidRDefault="00A52638" w:rsidP="001B362D">
            <w:pPr>
              <w:rPr>
                <w:lang w:val="es-419"/>
              </w:rPr>
            </w:pPr>
            <w:r w:rsidRPr="00EF48E5">
              <w:rPr>
                <w:lang w:val="es-419"/>
              </w:rPr>
              <w:t>2</w:t>
            </w:r>
            <w:r w:rsidR="00EF012F">
              <w:rPr>
                <w:lang w:val="es-419"/>
              </w:rPr>
              <w:t xml:space="preserve"> </w:t>
            </w:r>
            <w:r w:rsidRPr="00EF48E5">
              <w:rPr>
                <w:lang w:val="es-419"/>
              </w:rPr>
              <w:t>% del presupuesto de RIT: $ 30,000</w:t>
            </w:r>
          </w:p>
        </w:tc>
      </w:tr>
      <w:tr w:rsidR="008A2D33" w:rsidRPr="00EF48E5" w14:paraId="28EFFD0D" w14:textId="2E2EEE83" w:rsidTr="008A2D33">
        <w:trPr>
          <w:cantSplit/>
        </w:trPr>
        <w:tc>
          <w:tcPr>
            <w:tcW w:w="2875" w:type="dxa"/>
          </w:tcPr>
          <w:p w14:paraId="12865E34" w14:textId="3519A777" w:rsidR="008A2D33" w:rsidRPr="00EF48E5" w:rsidRDefault="008A2D33" w:rsidP="001B362D">
            <w:pPr>
              <w:rPr>
                <w:lang w:val="es-419"/>
              </w:rPr>
            </w:pPr>
            <w:r w:rsidRPr="00EF48E5">
              <w:rPr>
                <w:lang w:val="es-419"/>
              </w:rPr>
              <w:t>Participación en misiones de supervisión RIT</w:t>
            </w:r>
          </w:p>
        </w:tc>
        <w:tc>
          <w:tcPr>
            <w:tcW w:w="3499" w:type="dxa"/>
          </w:tcPr>
          <w:p w14:paraId="47D8BA65" w14:textId="1A830D4A" w:rsidR="008A2D33" w:rsidRPr="00EF48E5" w:rsidRDefault="00EF012F" w:rsidP="001B362D">
            <w:pPr>
              <w:rPr>
                <w:lang w:val="es-419"/>
              </w:rPr>
            </w:pPr>
            <w:r>
              <w:rPr>
                <w:lang w:val="es-419"/>
              </w:rPr>
              <w:t>D</w:t>
            </w:r>
            <w:r w:rsidR="008A2D33" w:rsidRPr="00EF48E5">
              <w:rPr>
                <w:lang w:val="es-419"/>
              </w:rPr>
              <w:t>os veces al año</w:t>
            </w:r>
          </w:p>
        </w:tc>
        <w:tc>
          <w:tcPr>
            <w:tcW w:w="2649" w:type="dxa"/>
          </w:tcPr>
          <w:p w14:paraId="5980D149" w14:textId="77F06C7D" w:rsidR="00D45A22" w:rsidRPr="00EF48E5" w:rsidRDefault="00275C8E" w:rsidP="00CC1532">
            <w:pPr>
              <w:rPr>
                <w:lang w:val="es-419"/>
              </w:rPr>
            </w:pPr>
            <w:r w:rsidRPr="00EF48E5">
              <w:rPr>
                <w:lang w:val="es-419"/>
              </w:rPr>
              <w:t>5</w:t>
            </w:r>
            <w:r w:rsidR="00EF012F">
              <w:rPr>
                <w:lang w:val="es-419"/>
              </w:rPr>
              <w:t xml:space="preserve"> </w:t>
            </w:r>
            <w:r w:rsidRPr="00EF48E5">
              <w:rPr>
                <w:lang w:val="es-419"/>
              </w:rPr>
              <w:t xml:space="preserve">% estimado del presupuesto del proyecto RIT: </w:t>
            </w:r>
            <w:r w:rsidR="00BC164E">
              <w:rPr>
                <w:lang w:val="es-419"/>
              </w:rPr>
              <w:t>aprox</w:t>
            </w:r>
            <w:r w:rsidR="00BC164E" w:rsidRPr="000B4607">
              <w:rPr>
                <w:lang w:val="es-419"/>
              </w:rPr>
              <w:t xml:space="preserve">. </w:t>
            </w:r>
            <w:r w:rsidRPr="00EF48E5">
              <w:rPr>
                <w:lang w:val="es-419"/>
              </w:rPr>
              <w:t>$75.000</w:t>
            </w:r>
          </w:p>
        </w:tc>
      </w:tr>
      <w:tr w:rsidR="008A2D33" w:rsidRPr="00EF48E5" w14:paraId="69575C1A" w14:textId="3DE9B21D" w:rsidTr="008A2D33">
        <w:trPr>
          <w:cantSplit/>
        </w:trPr>
        <w:tc>
          <w:tcPr>
            <w:tcW w:w="2875" w:type="dxa"/>
          </w:tcPr>
          <w:p w14:paraId="19CBA7ED" w14:textId="0B1D9C59" w:rsidR="008A2D33" w:rsidRPr="00EF48E5" w:rsidRDefault="008A2D33" w:rsidP="001B362D">
            <w:pPr>
              <w:rPr>
                <w:lang w:val="es-419"/>
              </w:rPr>
            </w:pPr>
            <w:r w:rsidRPr="00EF48E5">
              <w:rPr>
                <w:lang w:val="es-419"/>
              </w:rPr>
              <w:t>Participación en la evaluación independiente del RIT</w:t>
            </w:r>
          </w:p>
        </w:tc>
        <w:tc>
          <w:tcPr>
            <w:tcW w:w="3499" w:type="dxa"/>
          </w:tcPr>
          <w:p w14:paraId="34F5FE86" w14:textId="3FE8CF46" w:rsidR="008A2D33" w:rsidRPr="00EF48E5" w:rsidRDefault="008A2D33" w:rsidP="001B362D">
            <w:pPr>
              <w:rPr>
                <w:lang w:val="es-419"/>
              </w:rPr>
            </w:pPr>
            <w:r w:rsidRPr="00EF48E5">
              <w:rPr>
                <w:lang w:val="es-419"/>
              </w:rPr>
              <w:t>Durante el último año del proyecto</w:t>
            </w:r>
          </w:p>
        </w:tc>
        <w:tc>
          <w:tcPr>
            <w:tcW w:w="2649" w:type="dxa"/>
          </w:tcPr>
          <w:p w14:paraId="4962DF25" w14:textId="7B7B62E4" w:rsidR="008A2D33" w:rsidRPr="000B4607" w:rsidRDefault="008A2D33" w:rsidP="001B362D">
            <w:pPr>
              <w:rPr>
                <w:lang w:val="es-419"/>
              </w:rPr>
            </w:pPr>
            <w:r w:rsidRPr="000B4607">
              <w:rPr>
                <w:lang w:val="es-419"/>
              </w:rPr>
              <w:t xml:space="preserve">Tiempo del personal de RIT: </w:t>
            </w:r>
            <w:r w:rsidR="00BC164E">
              <w:rPr>
                <w:lang w:val="es-419"/>
              </w:rPr>
              <w:t>aprox</w:t>
            </w:r>
            <w:r w:rsidR="00BC164E" w:rsidRPr="000B4607">
              <w:rPr>
                <w:lang w:val="es-419"/>
              </w:rPr>
              <w:t>.</w:t>
            </w:r>
            <w:r w:rsidRPr="000B4607">
              <w:rPr>
                <w:lang w:val="es-419"/>
              </w:rPr>
              <w:t xml:space="preserve"> $ 5,000</w:t>
            </w:r>
          </w:p>
        </w:tc>
      </w:tr>
      <w:tr w:rsidR="008A2D33" w:rsidRPr="00EF48E5" w14:paraId="45501D77" w14:textId="71177BC2" w:rsidTr="008A2D33">
        <w:trPr>
          <w:cantSplit/>
        </w:trPr>
        <w:tc>
          <w:tcPr>
            <w:tcW w:w="2875" w:type="dxa"/>
          </w:tcPr>
          <w:p w14:paraId="57753A58" w14:textId="232BD7B6" w:rsidR="008A2D33" w:rsidRPr="00EF48E5" w:rsidRDefault="008A2D33" w:rsidP="001B362D">
            <w:pPr>
              <w:ind w:right="-110"/>
              <w:rPr>
                <w:lang w:val="es-419"/>
              </w:rPr>
            </w:pPr>
            <w:r w:rsidRPr="00EF48E5">
              <w:rPr>
                <w:lang w:val="es-419"/>
              </w:rPr>
              <w:t>Participación en capacitación RIT impartida por la Secretaría del CEPF</w:t>
            </w:r>
          </w:p>
        </w:tc>
        <w:tc>
          <w:tcPr>
            <w:tcW w:w="3499" w:type="dxa"/>
          </w:tcPr>
          <w:p w14:paraId="474C2732" w14:textId="0B0AFF17" w:rsidR="008A2D33" w:rsidRPr="00EF48E5" w:rsidRDefault="008A2D33" w:rsidP="001B362D">
            <w:pPr>
              <w:ind w:right="-110"/>
              <w:rPr>
                <w:lang w:val="es-419"/>
              </w:rPr>
            </w:pPr>
            <w:r w:rsidRPr="00EF48E5">
              <w:rPr>
                <w:lang w:val="es-419"/>
              </w:rPr>
              <w:t>Dentro de los 90 días del inicio del proyecto RIT</w:t>
            </w:r>
          </w:p>
        </w:tc>
        <w:tc>
          <w:tcPr>
            <w:tcW w:w="2649" w:type="dxa"/>
          </w:tcPr>
          <w:p w14:paraId="69353166" w14:textId="00A47061" w:rsidR="008A2D33" w:rsidRPr="000B4607" w:rsidRDefault="00275C8E" w:rsidP="001B362D">
            <w:pPr>
              <w:ind w:right="-110"/>
              <w:rPr>
                <w:lang w:val="es-419"/>
              </w:rPr>
            </w:pPr>
            <w:r w:rsidRPr="000B4607">
              <w:rPr>
                <w:lang w:val="es-419"/>
              </w:rPr>
              <w:t xml:space="preserve">Tiempo del personal del RIT: </w:t>
            </w:r>
            <w:r w:rsidR="00BC164E">
              <w:rPr>
                <w:lang w:val="es-419"/>
              </w:rPr>
              <w:t>aprox</w:t>
            </w:r>
            <w:r w:rsidR="00BC164E" w:rsidRPr="000B4607">
              <w:rPr>
                <w:lang w:val="es-419"/>
              </w:rPr>
              <w:t>.</w:t>
            </w:r>
            <w:r w:rsidR="006E143E">
              <w:rPr>
                <w:lang w:val="es-419"/>
              </w:rPr>
              <w:t xml:space="preserve"> </w:t>
            </w:r>
            <w:r w:rsidRPr="000B4607">
              <w:rPr>
                <w:lang w:val="es-419"/>
              </w:rPr>
              <w:t>$6,000</w:t>
            </w:r>
          </w:p>
          <w:p w14:paraId="2CF3C234" w14:textId="4710C972" w:rsidR="00D45A22" w:rsidRPr="000B4607" w:rsidRDefault="00D45A22" w:rsidP="001B362D">
            <w:pPr>
              <w:ind w:right="-110"/>
              <w:rPr>
                <w:lang w:val="es-419"/>
              </w:rPr>
            </w:pPr>
          </w:p>
        </w:tc>
      </w:tr>
      <w:tr w:rsidR="008A2D33" w:rsidRPr="00EF48E5" w14:paraId="2F7E5AE1" w14:textId="1E6E2121" w:rsidTr="008A2D33">
        <w:trPr>
          <w:cantSplit/>
        </w:trPr>
        <w:tc>
          <w:tcPr>
            <w:tcW w:w="2875" w:type="dxa"/>
          </w:tcPr>
          <w:p w14:paraId="2D872BC8" w14:textId="4772590E" w:rsidR="008A2D33" w:rsidRPr="00EF48E5" w:rsidRDefault="008A2D33" w:rsidP="001B362D">
            <w:pPr>
              <w:rPr>
                <w:lang w:val="es-419"/>
              </w:rPr>
            </w:pPr>
            <w:r w:rsidRPr="00EF48E5">
              <w:rPr>
                <w:lang w:val="es-419"/>
              </w:rPr>
              <w:t xml:space="preserve">Desarrollo de materiales de orientación y capacitación en línea para los </w:t>
            </w:r>
            <w:proofErr w:type="spellStart"/>
            <w:r w:rsidRPr="00EF48E5">
              <w:rPr>
                <w:lang w:val="es-419"/>
              </w:rPr>
              <w:t>sub-beneficiarios</w:t>
            </w:r>
            <w:proofErr w:type="spellEnd"/>
            <w:r w:rsidRPr="00EF48E5">
              <w:rPr>
                <w:lang w:val="es-419"/>
              </w:rPr>
              <w:t xml:space="preserve"> (en colaboración con la Secretaría del CEPF)</w:t>
            </w:r>
          </w:p>
        </w:tc>
        <w:tc>
          <w:tcPr>
            <w:tcW w:w="3499" w:type="dxa"/>
          </w:tcPr>
          <w:p w14:paraId="35A7716C" w14:textId="06B28E55" w:rsidR="008A2D33" w:rsidRPr="00EF48E5" w:rsidRDefault="008A2D33" w:rsidP="001B362D">
            <w:pPr>
              <w:rPr>
                <w:lang w:val="es-419"/>
              </w:rPr>
            </w:pPr>
            <w:r w:rsidRPr="00EF48E5">
              <w:rPr>
                <w:lang w:val="es-419"/>
              </w:rPr>
              <w:t>Desarrollo inicial durante el primer año del proyecto; actualización durante los años dos a cuatro</w:t>
            </w:r>
          </w:p>
        </w:tc>
        <w:tc>
          <w:tcPr>
            <w:tcW w:w="2649" w:type="dxa"/>
          </w:tcPr>
          <w:p w14:paraId="01F9B979" w14:textId="68FA44C0" w:rsidR="008A2D33" w:rsidRPr="00EF48E5" w:rsidRDefault="00220431" w:rsidP="001B362D">
            <w:pPr>
              <w:rPr>
                <w:lang w:val="es-419"/>
              </w:rPr>
            </w:pPr>
            <w:r w:rsidRPr="00EF48E5">
              <w:rPr>
                <w:lang w:val="es-419"/>
              </w:rPr>
              <w:t>5</w:t>
            </w:r>
            <w:r w:rsidR="00EF012F">
              <w:rPr>
                <w:lang w:val="es-419"/>
              </w:rPr>
              <w:t xml:space="preserve"> </w:t>
            </w:r>
            <w:r w:rsidRPr="00EF48E5">
              <w:rPr>
                <w:lang w:val="es-419"/>
              </w:rPr>
              <w:t>% del presupuesto de RIT: $ 75,000</w:t>
            </w:r>
          </w:p>
        </w:tc>
      </w:tr>
      <w:tr w:rsidR="008A2D33" w:rsidRPr="00EF48E5" w14:paraId="31E66780" w14:textId="644CF933" w:rsidTr="008A2D33">
        <w:trPr>
          <w:cantSplit/>
        </w:trPr>
        <w:tc>
          <w:tcPr>
            <w:tcW w:w="2875" w:type="dxa"/>
          </w:tcPr>
          <w:p w14:paraId="1D713904" w14:textId="26741F9C" w:rsidR="008A2D33" w:rsidRPr="00EF48E5" w:rsidRDefault="008A2D33" w:rsidP="00EF012F">
            <w:pPr>
              <w:ind w:right="-110"/>
              <w:rPr>
                <w:lang w:val="es-419"/>
              </w:rPr>
            </w:pPr>
            <w:r w:rsidRPr="00EF48E5">
              <w:rPr>
                <w:lang w:val="es-419"/>
              </w:rPr>
              <w:t xml:space="preserve">Diseño y entrega de capacitación para </w:t>
            </w:r>
            <w:proofErr w:type="spellStart"/>
            <w:r w:rsidRPr="00EF48E5">
              <w:rPr>
                <w:lang w:val="es-419"/>
              </w:rPr>
              <w:t>sub-beneficiarios</w:t>
            </w:r>
            <w:proofErr w:type="spellEnd"/>
            <w:r w:rsidRPr="00EF48E5">
              <w:rPr>
                <w:lang w:val="es-419"/>
              </w:rPr>
              <w:t xml:space="preserve"> (en colaboración con la Secretaría del CEPF)</w:t>
            </w:r>
          </w:p>
        </w:tc>
        <w:tc>
          <w:tcPr>
            <w:tcW w:w="3499" w:type="dxa"/>
          </w:tcPr>
          <w:p w14:paraId="1BA508AD" w14:textId="6139EFD4" w:rsidR="008A2D33" w:rsidRPr="00EF48E5" w:rsidRDefault="008A2D33" w:rsidP="001B362D">
            <w:pPr>
              <w:rPr>
                <w:lang w:val="es-419"/>
              </w:rPr>
            </w:pPr>
            <w:r w:rsidRPr="00EF48E5">
              <w:rPr>
                <w:lang w:val="es-419"/>
              </w:rPr>
              <w:t>En función de las necesidades durante todo el proyecto</w:t>
            </w:r>
          </w:p>
        </w:tc>
        <w:tc>
          <w:tcPr>
            <w:tcW w:w="2649" w:type="dxa"/>
          </w:tcPr>
          <w:p w14:paraId="7800F3BE" w14:textId="13FFB47D" w:rsidR="008A2D33" w:rsidRPr="00EF48E5" w:rsidRDefault="00220431" w:rsidP="001B362D">
            <w:pPr>
              <w:rPr>
                <w:lang w:val="es-419"/>
              </w:rPr>
            </w:pPr>
            <w:r w:rsidRPr="00EF48E5">
              <w:rPr>
                <w:lang w:val="es-419"/>
              </w:rPr>
              <w:t>5</w:t>
            </w:r>
            <w:r w:rsidR="00EF012F">
              <w:rPr>
                <w:lang w:val="es-419"/>
              </w:rPr>
              <w:t xml:space="preserve"> </w:t>
            </w:r>
            <w:r w:rsidRPr="00EF48E5">
              <w:rPr>
                <w:lang w:val="es-419"/>
              </w:rPr>
              <w:t>% del presupuesto de RIT: $ 75,000</w:t>
            </w:r>
          </w:p>
        </w:tc>
      </w:tr>
      <w:tr w:rsidR="008A2D33" w:rsidRPr="00EF48E5" w14:paraId="5BB40A46" w14:textId="77777777" w:rsidTr="008A2D33">
        <w:trPr>
          <w:cantSplit/>
        </w:trPr>
        <w:tc>
          <w:tcPr>
            <w:tcW w:w="2875" w:type="dxa"/>
          </w:tcPr>
          <w:p w14:paraId="2BD3EE67" w14:textId="77777777" w:rsidR="008A2D33" w:rsidRPr="00EF48E5" w:rsidRDefault="008A2D33" w:rsidP="001B362D">
            <w:pPr>
              <w:rPr>
                <w:lang w:val="es-419"/>
              </w:rPr>
            </w:pPr>
          </w:p>
        </w:tc>
        <w:tc>
          <w:tcPr>
            <w:tcW w:w="3499" w:type="dxa"/>
          </w:tcPr>
          <w:p w14:paraId="7C6DAA59" w14:textId="1A47092F" w:rsidR="008A2D33" w:rsidRPr="00EF48E5" w:rsidRDefault="008A2D33" w:rsidP="001B362D">
            <w:pPr>
              <w:rPr>
                <w:b/>
                <w:bCs/>
                <w:lang w:val="es-419"/>
              </w:rPr>
            </w:pPr>
            <w:r w:rsidRPr="00EF48E5">
              <w:rPr>
                <w:b/>
                <w:bCs/>
                <w:lang w:val="es-419"/>
              </w:rPr>
              <w:t>TOTAL</w:t>
            </w:r>
          </w:p>
        </w:tc>
        <w:tc>
          <w:tcPr>
            <w:tcW w:w="2649" w:type="dxa"/>
          </w:tcPr>
          <w:p w14:paraId="162D1CBC" w14:textId="39C8EF13" w:rsidR="008A2D33" w:rsidRPr="00EF48E5" w:rsidRDefault="0053663F" w:rsidP="001B362D">
            <w:pPr>
              <w:rPr>
                <w:b/>
                <w:bCs/>
                <w:lang w:val="es-419"/>
              </w:rPr>
            </w:pPr>
            <w:r w:rsidRPr="00EF48E5">
              <w:rPr>
                <w:b/>
                <w:bCs/>
                <w:lang w:val="es-419"/>
              </w:rPr>
              <w:t>$1,109,000</w:t>
            </w:r>
          </w:p>
        </w:tc>
      </w:tr>
    </w:tbl>
    <w:p w14:paraId="162E2F5E" w14:textId="77777777" w:rsidR="00581DA2" w:rsidRPr="00EF48E5" w:rsidRDefault="008A2777" w:rsidP="003D2806">
      <w:pPr>
        <w:pStyle w:val="Heading1"/>
        <w:numPr>
          <w:ilvl w:val="0"/>
          <w:numId w:val="1"/>
        </w:numPr>
        <w:rPr>
          <w:bCs/>
          <w:iCs/>
          <w:lang w:val="es-419"/>
        </w:rPr>
      </w:pPr>
      <w:bookmarkStart w:id="19" w:name="_Toc100398999"/>
      <w:r w:rsidRPr="00EF48E5">
        <w:rPr>
          <w:lang w:val="es-419"/>
        </w:rPr>
        <w:lastRenderedPageBreak/>
        <w:t>Seguimiento y arreglos</w:t>
      </w:r>
      <w:bookmarkEnd w:id="19"/>
    </w:p>
    <w:p w14:paraId="373DB187" w14:textId="77777777" w:rsidR="00581DA2" w:rsidRPr="00EF48E5" w:rsidRDefault="00581DA2" w:rsidP="00581DA2">
      <w:pPr>
        <w:spacing w:after="0"/>
        <w:jc w:val="both"/>
        <w:rPr>
          <w:rFonts w:cstheme="minorHAnsi"/>
          <w:lang w:val="es-419"/>
        </w:rPr>
      </w:pPr>
    </w:p>
    <w:p w14:paraId="7961366D" w14:textId="6915AA15" w:rsidR="00581DA2" w:rsidRPr="00EF48E5" w:rsidRDefault="00581DA2" w:rsidP="00581DA2">
      <w:pPr>
        <w:spacing w:after="0"/>
        <w:jc w:val="both"/>
        <w:rPr>
          <w:rFonts w:cstheme="minorHAnsi"/>
          <w:lang w:val="es-419"/>
        </w:rPr>
      </w:pPr>
      <w:r w:rsidRPr="00EF48E5">
        <w:rPr>
          <w:rFonts w:cstheme="minorHAnsi"/>
          <w:lang w:val="es-419"/>
        </w:rPr>
        <w:t>El RIT tomará los siguientes pasos</w:t>
      </w:r>
      <w:r w:rsidR="00282FEE" w:rsidRPr="00EF48E5">
        <w:rPr>
          <w:rStyle w:val="FootnoteReference"/>
          <w:rFonts w:cstheme="minorHAnsi"/>
          <w:lang w:val="es-419"/>
        </w:rPr>
        <w:footnoteReference w:id="3"/>
      </w:r>
      <w:r w:rsidR="00B95068">
        <w:rPr>
          <w:rFonts w:cstheme="minorHAnsi"/>
          <w:lang w:val="es-419"/>
        </w:rPr>
        <w:t xml:space="preserve"> </w:t>
      </w:r>
      <w:r w:rsidRPr="00EF48E5">
        <w:rPr>
          <w:rFonts w:cstheme="minorHAnsi"/>
          <w:lang w:val="es-419"/>
        </w:rPr>
        <w:t>para monitorear y evaluar la efectividad de las actividades de participación de las partes interesadas enumeradas anteriormente:</w:t>
      </w:r>
    </w:p>
    <w:p w14:paraId="00EAA942" w14:textId="491FD493" w:rsidR="00581DA2" w:rsidRPr="00EF48E5" w:rsidRDefault="00581DA2" w:rsidP="00581DA2">
      <w:pPr>
        <w:pStyle w:val="ListParagraph"/>
        <w:numPr>
          <w:ilvl w:val="0"/>
          <w:numId w:val="20"/>
        </w:numPr>
        <w:spacing w:after="0"/>
        <w:jc w:val="both"/>
        <w:rPr>
          <w:rFonts w:cstheme="minorHAnsi"/>
          <w:bCs/>
          <w:iCs/>
          <w:lang w:val="es-419"/>
        </w:rPr>
      </w:pPr>
      <w:r w:rsidRPr="00EF48E5">
        <w:rPr>
          <w:rFonts w:cstheme="minorHAnsi"/>
          <w:lang w:val="es-419"/>
        </w:rPr>
        <w:t>Buscar comentarios de las partes interesadas a lo largo de la implementación del proyecto a través de reuniones regulares virtuales y presenciales, correo electrónico directo, redes sociales, formularios de comentarios de todas las sesiones de capacitación, intercambios entre pares, seminarios web y talleres, etc.</w:t>
      </w:r>
    </w:p>
    <w:p w14:paraId="288005D5" w14:textId="6B720FB5" w:rsidR="00581DA2" w:rsidRPr="00EF48E5" w:rsidRDefault="00581DA2" w:rsidP="00581DA2">
      <w:pPr>
        <w:pStyle w:val="ListParagraph"/>
        <w:numPr>
          <w:ilvl w:val="0"/>
          <w:numId w:val="20"/>
        </w:numPr>
        <w:spacing w:after="0"/>
        <w:jc w:val="both"/>
        <w:rPr>
          <w:rFonts w:cstheme="minorHAnsi"/>
          <w:bCs/>
          <w:iCs/>
          <w:lang w:val="es-419"/>
        </w:rPr>
      </w:pPr>
      <w:r w:rsidRPr="00EF48E5">
        <w:rPr>
          <w:rFonts w:cstheme="minorHAnsi"/>
          <w:lang w:val="es-419"/>
        </w:rPr>
        <w:t xml:space="preserve">Revisar los informes de los </w:t>
      </w:r>
      <w:proofErr w:type="spellStart"/>
      <w:r w:rsidRPr="00EF48E5">
        <w:rPr>
          <w:rFonts w:cstheme="minorHAnsi"/>
          <w:lang w:val="es-419"/>
        </w:rPr>
        <w:t>sub-beneficiarios</w:t>
      </w:r>
      <w:proofErr w:type="spellEnd"/>
      <w:r w:rsidRPr="00EF48E5">
        <w:rPr>
          <w:rFonts w:cstheme="minorHAnsi"/>
          <w:lang w:val="es-419"/>
        </w:rPr>
        <w:t>, específicamente los informes sobre la implementación de los SEP de los subproyectos</w:t>
      </w:r>
    </w:p>
    <w:p w14:paraId="481365EC" w14:textId="332ACAAD" w:rsidR="00581DA2" w:rsidRPr="00EF48E5" w:rsidRDefault="00581DA2" w:rsidP="00581DA2">
      <w:pPr>
        <w:pStyle w:val="ListParagraph"/>
        <w:numPr>
          <w:ilvl w:val="0"/>
          <w:numId w:val="20"/>
        </w:numPr>
        <w:spacing w:after="0"/>
        <w:jc w:val="both"/>
        <w:rPr>
          <w:rFonts w:cstheme="minorHAnsi"/>
          <w:bCs/>
          <w:iCs/>
          <w:lang w:val="es-419"/>
        </w:rPr>
      </w:pPr>
      <w:r w:rsidRPr="00EF48E5">
        <w:rPr>
          <w:rFonts w:cstheme="minorHAnsi"/>
          <w:lang w:val="es-419"/>
        </w:rPr>
        <w:t>Visitas virtuales o presenciales a los subproyectos y debates con las partes interesadas en los sitios de los proyectos</w:t>
      </w:r>
    </w:p>
    <w:p w14:paraId="15E992B9" w14:textId="32C66A59" w:rsidR="00581DA2" w:rsidRPr="00EF48E5" w:rsidRDefault="00581DA2" w:rsidP="00581DA2">
      <w:pPr>
        <w:pStyle w:val="ListParagraph"/>
        <w:numPr>
          <w:ilvl w:val="0"/>
          <w:numId w:val="20"/>
        </w:numPr>
        <w:spacing w:after="0"/>
        <w:jc w:val="both"/>
        <w:rPr>
          <w:rFonts w:cstheme="minorHAnsi"/>
          <w:bCs/>
          <w:iCs/>
          <w:lang w:val="es-419"/>
        </w:rPr>
      </w:pPr>
      <w:r w:rsidRPr="00EF48E5">
        <w:rPr>
          <w:rFonts w:cstheme="minorHAnsi"/>
          <w:lang w:val="es-419"/>
        </w:rPr>
        <w:t xml:space="preserve">Buscar retroalimentación de las partes interesadas durante la evaluación intermedia de la inversión del CEPF en el </w:t>
      </w:r>
      <w:proofErr w:type="spellStart"/>
      <w:r w:rsidRPr="00EF48E5">
        <w:rPr>
          <w:rFonts w:cstheme="minorHAnsi"/>
          <w:lang w:val="es-419"/>
        </w:rPr>
        <w:t>Hotspot</w:t>
      </w:r>
      <w:proofErr w:type="spellEnd"/>
      <w:r w:rsidRPr="00EF48E5">
        <w:rPr>
          <w:rFonts w:cstheme="minorHAnsi"/>
          <w:lang w:val="es-419"/>
        </w:rPr>
        <w:t xml:space="preserve"> de Biodiversidad de las Islas del Caribe e incorporar recomendaciones en la implementación del proyecto</w:t>
      </w:r>
    </w:p>
    <w:p w14:paraId="3A1595EC" w14:textId="738C6305" w:rsidR="00581DA2" w:rsidRPr="00EF48E5" w:rsidRDefault="00581DA2" w:rsidP="00581DA2">
      <w:pPr>
        <w:pStyle w:val="ListParagraph"/>
        <w:numPr>
          <w:ilvl w:val="0"/>
          <w:numId w:val="20"/>
        </w:numPr>
        <w:spacing w:after="0"/>
        <w:jc w:val="both"/>
        <w:rPr>
          <w:rFonts w:cstheme="minorHAnsi"/>
          <w:bCs/>
          <w:iCs/>
          <w:lang w:val="es-419"/>
        </w:rPr>
      </w:pPr>
      <w:r w:rsidRPr="00EF48E5">
        <w:rPr>
          <w:rFonts w:cstheme="minorHAnsi"/>
          <w:lang w:val="es-419"/>
        </w:rPr>
        <w:t xml:space="preserve">Buscar comentarios de las partes interesadas en la evaluación final de la inversión del CEPF en el </w:t>
      </w:r>
      <w:proofErr w:type="spellStart"/>
      <w:r w:rsidRPr="00EF48E5">
        <w:rPr>
          <w:rFonts w:cstheme="minorHAnsi"/>
          <w:lang w:val="es-419"/>
        </w:rPr>
        <w:t>Hotspot</w:t>
      </w:r>
      <w:proofErr w:type="spellEnd"/>
      <w:r w:rsidRPr="00EF48E5">
        <w:rPr>
          <w:rFonts w:cstheme="minorHAnsi"/>
          <w:lang w:val="es-419"/>
        </w:rPr>
        <w:t xml:space="preserve"> de Biodiversidad de las Islas del Caribe y documentar y compartir las lecciones aprendidas, las mejores prácticas y las recomendaciones.</w:t>
      </w:r>
    </w:p>
    <w:p w14:paraId="30D23B1F" w14:textId="77777777" w:rsidR="00581DA2" w:rsidRPr="00EF48E5" w:rsidRDefault="00581DA2" w:rsidP="00581DA2">
      <w:pPr>
        <w:pStyle w:val="ListParagraph"/>
        <w:numPr>
          <w:ilvl w:val="0"/>
          <w:numId w:val="20"/>
        </w:numPr>
        <w:spacing w:after="0"/>
        <w:jc w:val="both"/>
        <w:rPr>
          <w:rFonts w:cstheme="minorHAnsi"/>
          <w:bCs/>
          <w:iCs/>
          <w:lang w:val="es-419"/>
        </w:rPr>
      </w:pPr>
      <w:r w:rsidRPr="00EF48E5">
        <w:rPr>
          <w:rFonts w:cstheme="minorHAnsi"/>
          <w:lang w:val="es-419"/>
        </w:rPr>
        <w:t>Informar sobre las actividades de participación de las partes interesadas en los informes programáticos semestrales del RIT a la Secretaría del CEPF</w:t>
      </w:r>
    </w:p>
    <w:p w14:paraId="6BBF9C0B" w14:textId="0AEE2766" w:rsidR="00581DA2" w:rsidRPr="00EF48E5" w:rsidRDefault="00581DA2" w:rsidP="00581DA2">
      <w:pPr>
        <w:pStyle w:val="ListParagraph"/>
        <w:numPr>
          <w:ilvl w:val="0"/>
          <w:numId w:val="20"/>
        </w:numPr>
        <w:spacing w:after="0"/>
        <w:jc w:val="both"/>
        <w:rPr>
          <w:rFonts w:cstheme="minorHAnsi"/>
          <w:bCs/>
          <w:iCs/>
          <w:lang w:val="es-419"/>
        </w:rPr>
      </w:pPr>
      <w:r w:rsidRPr="00EF48E5">
        <w:rPr>
          <w:rFonts w:cstheme="minorHAnsi"/>
          <w:lang w:val="es-419"/>
        </w:rPr>
        <w:t>Informes durante reuniones y misiones de supervisión con la Secretaría del CEPF</w:t>
      </w:r>
    </w:p>
    <w:p w14:paraId="6D6A2DD2" w14:textId="3DC12FDF" w:rsidR="00FF48FE" w:rsidRPr="00EF48E5" w:rsidRDefault="00FF48FE" w:rsidP="00581DA2">
      <w:pPr>
        <w:pStyle w:val="ListParagraph"/>
        <w:numPr>
          <w:ilvl w:val="0"/>
          <w:numId w:val="20"/>
        </w:numPr>
        <w:spacing w:after="0"/>
        <w:jc w:val="both"/>
        <w:rPr>
          <w:rFonts w:cstheme="minorHAnsi"/>
          <w:bCs/>
          <w:iCs/>
          <w:lang w:val="es-419"/>
        </w:rPr>
      </w:pPr>
      <w:r w:rsidRPr="00EF48E5">
        <w:rPr>
          <w:rFonts w:cstheme="minorHAnsi"/>
          <w:lang w:val="es-419"/>
        </w:rPr>
        <w:t>Monitoreo del Mecanismo de Reparación de Quejas (GRM)</w:t>
      </w:r>
    </w:p>
    <w:p w14:paraId="34E5BBDF" w14:textId="77777777" w:rsidR="008A2777" w:rsidRPr="00EF48E5" w:rsidRDefault="008A2777" w:rsidP="008A2777">
      <w:pPr>
        <w:pStyle w:val="ListParagraph"/>
        <w:jc w:val="both"/>
        <w:rPr>
          <w:rFonts w:cstheme="minorHAnsi"/>
          <w:bCs/>
          <w:iCs/>
          <w:lang w:val="es-419"/>
        </w:rPr>
      </w:pPr>
    </w:p>
    <w:p w14:paraId="3079A6AC" w14:textId="77777777" w:rsidR="00282FEE" w:rsidRPr="00EF48E5" w:rsidRDefault="008A2777" w:rsidP="003D2806">
      <w:pPr>
        <w:pStyle w:val="Heading1"/>
        <w:numPr>
          <w:ilvl w:val="0"/>
          <w:numId w:val="1"/>
        </w:numPr>
        <w:rPr>
          <w:bCs/>
          <w:iCs/>
          <w:lang w:val="es-419"/>
        </w:rPr>
      </w:pPr>
      <w:bookmarkStart w:id="20" w:name="_Toc100399000"/>
      <w:r w:rsidRPr="00EF48E5">
        <w:rPr>
          <w:lang w:val="es-419"/>
        </w:rPr>
        <w:t>Consulta</w:t>
      </w:r>
      <w:bookmarkEnd w:id="20"/>
      <w:r w:rsidRPr="00EF48E5">
        <w:rPr>
          <w:lang w:val="es-419"/>
        </w:rPr>
        <w:t xml:space="preserve"> </w:t>
      </w:r>
    </w:p>
    <w:p w14:paraId="024C181E" w14:textId="77777777" w:rsidR="00282FEE" w:rsidRPr="00EF48E5" w:rsidRDefault="00282FEE" w:rsidP="00282FEE">
      <w:pPr>
        <w:spacing w:after="0"/>
        <w:jc w:val="both"/>
        <w:rPr>
          <w:rFonts w:cstheme="minorHAnsi"/>
          <w:lang w:val="es-419"/>
        </w:rPr>
      </w:pPr>
    </w:p>
    <w:p w14:paraId="66D149D4" w14:textId="11D18134" w:rsidR="00282FEE" w:rsidRPr="00EF48E5" w:rsidRDefault="00282FEE" w:rsidP="00282FEE">
      <w:pPr>
        <w:spacing w:after="0"/>
        <w:jc w:val="both"/>
        <w:rPr>
          <w:rFonts w:cstheme="minorHAnsi"/>
          <w:lang w:val="es-419"/>
        </w:rPr>
      </w:pPr>
      <w:r w:rsidRPr="00EF48E5">
        <w:rPr>
          <w:rFonts w:cstheme="minorHAnsi"/>
          <w:lang w:val="es-419"/>
        </w:rPr>
        <w:t xml:space="preserve">La Sección 9 anterior detalla el proceso de consulta que dirigió el RIT, en colaboración con la Secretaría del CEPF, para actualizar el Perfil del Ecosistema para el </w:t>
      </w:r>
      <w:proofErr w:type="spellStart"/>
      <w:r w:rsidRPr="00EF48E5">
        <w:rPr>
          <w:rFonts w:cstheme="minorHAnsi"/>
          <w:lang w:val="es-419"/>
        </w:rPr>
        <w:t>Hotspot</w:t>
      </w:r>
      <w:proofErr w:type="spellEnd"/>
      <w:r w:rsidRPr="00EF48E5">
        <w:rPr>
          <w:rFonts w:cstheme="minorHAnsi"/>
          <w:lang w:val="es-419"/>
        </w:rPr>
        <w:t xml:space="preserve"> de Biodiversidad de las Islas del Caribe, que fue el principal proceso de consulta en la preparación de este proyecto.</w:t>
      </w:r>
    </w:p>
    <w:p w14:paraId="7FD6B722" w14:textId="77777777" w:rsidR="008A2777" w:rsidRPr="00EF48E5" w:rsidRDefault="008A2777" w:rsidP="008A2777">
      <w:pPr>
        <w:pStyle w:val="ListParagraph"/>
        <w:jc w:val="both"/>
        <w:rPr>
          <w:rFonts w:cstheme="minorHAnsi"/>
          <w:bCs/>
          <w:iCs/>
          <w:lang w:val="es-419"/>
        </w:rPr>
      </w:pPr>
    </w:p>
    <w:p w14:paraId="5FCEB78D" w14:textId="77777777" w:rsidR="00282FEE" w:rsidRPr="00EF48E5" w:rsidRDefault="008A2777" w:rsidP="003D2806">
      <w:pPr>
        <w:pStyle w:val="Heading1"/>
        <w:numPr>
          <w:ilvl w:val="0"/>
          <w:numId w:val="1"/>
        </w:numPr>
        <w:rPr>
          <w:bCs/>
          <w:iCs/>
          <w:lang w:val="es-419"/>
        </w:rPr>
      </w:pPr>
      <w:bookmarkStart w:id="21" w:name="_Toc100399001"/>
      <w:r w:rsidRPr="00EF48E5">
        <w:rPr>
          <w:lang w:val="es-419"/>
        </w:rPr>
        <w:t>Divulgar</w:t>
      </w:r>
      <w:bookmarkEnd w:id="21"/>
      <w:r w:rsidRPr="00EF48E5">
        <w:rPr>
          <w:lang w:val="es-419"/>
        </w:rPr>
        <w:t xml:space="preserve"> </w:t>
      </w:r>
    </w:p>
    <w:p w14:paraId="127E225F" w14:textId="77777777" w:rsidR="0076679B" w:rsidRPr="00EF48E5" w:rsidRDefault="0076679B" w:rsidP="00282FEE">
      <w:pPr>
        <w:jc w:val="both"/>
        <w:rPr>
          <w:rFonts w:cstheme="minorHAnsi"/>
          <w:lang w:val="es-419"/>
        </w:rPr>
      </w:pPr>
    </w:p>
    <w:p w14:paraId="4125FF32" w14:textId="757C30DD" w:rsidR="00282FEE" w:rsidRPr="00EF48E5" w:rsidRDefault="00282FEE" w:rsidP="00282FEE">
      <w:pPr>
        <w:jc w:val="both"/>
        <w:rPr>
          <w:rFonts w:cstheme="minorHAnsi"/>
          <w:lang w:val="es-419"/>
        </w:rPr>
      </w:pPr>
      <w:r w:rsidRPr="00EF48E5">
        <w:rPr>
          <w:rFonts w:cstheme="minorHAnsi"/>
          <w:lang w:val="es-419"/>
        </w:rPr>
        <w:t>Este Plan de participación de las partes interesadas se divulgará públicamente mediante la página web de CEPF Islas del Caribe del sitio web de CANARI.</w:t>
      </w:r>
    </w:p>
    <w:p w14:paraId="0B99DC1A" w14:textId="0392E34C" w:rsidR="00282FEE" w:rsidRPr="00EF48E5" w:rsidRDefault="0076679B" w:rsidP="00282FEE">
      <w:pPr>
        <w:jc w:val="both"/>
        <w:rPr>
          <w:rFonts w:cstheme="minorHAnsi"/>
          <w:lang w:val="es-419"/>
        </w:rPr>
      </w:pPr>
      <w:r w:rsidRPr="00EF48E5">
        <w:rPr>
          <w:rFonts w:cstheme="minorHAnsi"/>
          <w:lang w:val="es-419"/>
        </w:rPr>
        <w:t xml:space="preserve">El RIT apoyará a los </w:t>
      </w:r>
      <w:proofErr w:type="spellStart"/>
      <w:r w:rsidRPr="00EF48E5">
        <w:rPr>
          <w:rFonts w:cstheme="minorHAnsi"/>
          <w:lang w:val="es-419"/>
        </w:rPr>
        <w:t>sub-beneficiarios</w:t>
      </w:r>
      <w:proofErr w:type="spellEnd"/>
      <w:r w:rsidRPr="00EF48E5">
        <w:rPr>
          <w:rFonts w:cstheme="minorHAnsi"/>
          <w:lang w:val="es-419"/>
        </w:rPr>
        <w:t xml:space="preserve"> para completar los SEP para los subproyectos y revisará las versiones preliminares de los SEP y proporcionará comentarios antes de que estén finalizados</w:t>
      </w:r>
      <w:r w:rsidR="006457CD">
        <w:rPr>
          <w:rFonts w:cstheme="minorHAnsi"/>
          <w:lang w:val="es-419"/>
        </w:rPr>
        <w:t>,</w:t>
      </w:r>
      <w:r w:rsidRPr="00EF48E5">
        <w:rPr>
          <w:rFonts w:cstheme="minorHAnsi"/>
          <w:lang w:val="es-419"/>
        </w:rPr>
        <w:t xml:space="preserve"> </w:t>
      </w:r>
      <w:r w:rsidRPr="00EF48E5">
        <w:rPr>
          <w:lang w:val="es-419"/>
        </w:rPr>
        <w:t>antes de aprobar las subvenciones pequeñas para la contratación (la contratación de subvenciones grandes será realizada directamente por la Secretaría del CEPF)</w:t>
      </w:r>
      <w:r w:rsidR="00ED622F">
        <w:rPr>
          <w:lang w:val="es-419"/>
        </w:rPr>
        <w:t>.</w:t>
      </w:r>
      <w:r w:rsidRPr="00EF48E5">
        <w:rPr>
          <w:lang w:val="es-419"/>
        </w:rPr>
        <w:t xml:space="preserve"> Los SEP finales aprobados, junto con otros instrumentos ambientales y sociales aplicables a los subproyectos, se divulgarán públicamente en la </w:t>
      </w:r>
      <w:r w:rsidRPr="00EF48E5">
        <w:rPr>
          <w:rFonts w:cstheme="minorHAnsi"/>
          <w:lang w:val="es-419"/>
        </w:rPr>
        <w:t>página web de CEPF Islas del Caribe del sitio web de CANARI (así como en el sitio web de CEPF).</w:t>
      </w:r>
    </w:p>
    <w:p w14:paraId="3101785B" w14:textId="77777777" w:rsidR="00282FEE" w:rsidRPr="00EF48E5" w:rsidRDefault="008A2777" w:rsidP="003D2806">
      <w:pPr>
        <w:pStyle w:val="Heading1"/>
        <w:numPr>
          <w:ilvl w:val="0"/>
          <w:numId w:val="1"/>
        </w:numPr>
        <w:rPr>
          <w:iCs/>
          <w:lang w:val="es-419"/>
        </w:rPr>
      </w:pPr>
      <w:bookmarkStart w:id="22" w:name="_Toc100399002"/>
      <w:r w:rsidRPr="00EF48E5">
        <w:rPr>
          <w:lang w:val="es-419"/>
        </w:rPr>
        <w:t>Mecanismo de quejas</w:t>
      </w:r>
      <w:bookmarkEnd w:id="22"/>
    </w:p>
    <w:p w14:paraId="08FE4EA7" w14:textId="77777777" w:rsidR="00282FEE" w:rsidRPr="00EF48E5" w:rsidRDefault="00282FEE" w:rsidP="00282FEE">
      <w:pPr>
        <w:spacing w:after="0"/>
        <w:jc w:val="both"/>
        <w:rPr>
          <w:rFonts w:cstheme="minorHAnsi"/>
          <w:highlight w:val="yellow"/>
          <w:lang w:val="es-419"/>
        </w:rPr>
      </w:pPr>
    </w:p>
    <w:p w14:paraId="0F17DC14" w14:textId="2A1E3B8C" w:rsidR="006C496E" w:rsidRPr="00EF48E5" w:rsidRDefault="00CC51E2" w:rsidP="006C496E">
      <w:pPr>
        <w:spacing w:after="0"/>
        <w:jc w:val="both"/>
        <w:rPr>
          <w:lang w:val="es-419"/>
        </w:rPr>
      </w:pPr>
      <w:r w:rsidRPr="00EF48E5">
        <w:rPr>
          <w:lang w:val="es-419"/>
        </w:rPr>
        <w:t xml:space="preserve">El siguiente es el GRM para el proyecto RIT </w:t>
      </w:r>
      <w:r w:rsidR="006C496E" w:rsidRPr="00EF48E5">
        <w:rPr>
          <w:lang w:val="es-419"/>
        </w:rPr>
        <w:t>para abordar las preocupaciones de las partes interesadas externas de CANARI. El GRM se traducirá al francés y al español y se pondrá a disposición de las partes interesadas, incluso a través del sitio web de CANARI, una vez que comience el proyecto RIT. Las quejas relacionadas con los trabajadores del proyecto RIT serán manejadas por un mecanismo separado que se incluye como parte de los Procedimientos de gestión laboral del proyecto.</w:t>
      </w:r>
    </w:p>
    <w:p w14:paraId="5FE0CBA6" w14:textId="77777777" w:rsidR="006C496E" w:rsidRPr="00EF48E5" w:rsidRDefault="006C496E" w:rsidP="006C496E">
      <w:pPr>
        <w:spacing w:after="0"/>
        <w:jc w:val="both"/>
        <w:rPr>
          <w:lang w:val="es-419"/>
        </w:rPr>
      </w:pPr>
    </w:p>
    <w:p w14:paraId="1C3D480C" w14:textId="6AF48960" w:rsidR="00BB429C" w:rsidRPr="00EF48E5" w:rsidRDefault="006C496E" w:rsidP="006C496E">
      <w:pPr>
        <w:spacing w:after="0"/>
        <w:jc w:val="both"/>
        <w:rPr>
          <w:lang w:val="es-419"/>
        </w:rPr>
      </w:pPr>
      <w:r w:rsidRPr="00EF48E5">
        <w:rPr>
          <w:lang w:val="es-419"/>
        </w:rPr>
        <w:t xml:space="preserve">Visitar los sitios del proyecto puede implicar visitas a las comunidades locales por parte del personal y los consultores de RIT, así como reuniones con la población local, lo que podría presentar riesgos para la salud y la seguridad de la comunidad. Este GRM se simplifica, considerando el alcance limitado de las actividades del proyecto a nivel comunitario y el bajo riesgo de impactos sociales adversos. Las medidas clave serán explicar el propósito de cualquier visita a las partes interesadas, explicar la existencia del GRM y poner a </w:t>
      </w:r>
      <w:r w:rsidRPr="00EF48E5">
        <w:rPr>
          <w:lang w:val="es-419"/>
        </w:rPr>
        <w:lastRenderedPageBreak/>
        <w:t>disposición la información de contacto de CANARI y la Secretaría del CEPF. Esto se hará a través de un folleto impreso u otros medios localmente apropiados.</w:t>
      </w:r>
    </w:p>
    <w:p w14:paraId="42472934" w14:textId="3F047726" w:rsidR="00ED76F1" w:rsidRPr="00EF48E5" w:rsidRDefault="00ED76F1" w:rsidP="006C496E">
      <w:pPr>
        <w:spacing w:after="0"/>
        <w:jc w:val="both"/>
        <w:rPr>
          <w:lang w:val="es-419"/>
        </w:rPr>
      </w:pPr>
    </w:p>
    <w:p w14:paraId="295BBCAE" w14:textId="15285100" w:rsidR="00ED76F1" w:rsidRPr="00EF48E5" w:rsidRDefault="00ED76F1" w:rsidP="006C496E">
      <w:pPr>
        <w:spacing w:after="0"/>
        <w:jc w:val="both"/>
        <w:rPr>
          <w:lang w:val="es-419"/>
        </w:rPr>
      </w:pPr>
      <w:bookmarkStart w:id="23" w:name="_Hlk76477806"/>
      <w:r w:rsidRPr="00EF48E5">
        <w:rPr>
          <w:lang w:val="es-419"/>
        </w:rPr>
        <w:t xml:space="preserve">El GRM se complementa con la Política de Salvaguardia de las Personas de CANARI, la cual tiene por objeto proteger a las personas, incluidos los socios y beneficiarios, de cualquier daño que pueda causarse por su contacto con CANARI. La política está disponible públicamente en el sitio web de CANARI: </w:t>
      </w:r>
      <w:hyperlink r:id="rId9" w:history="1">
        <w:r w:rsidR="00F52DB0" w:rsidRPr="00EF48E5">
          <w:rPr>
            <w:rStyle w:val="Hyperlink"/>
            <w:lang w:val="es-419"/>
          </w:rPr>
          <w:t>https://bit.ly/3AxWiUP</w:t>
        </w:r>
      </w:hyperlink>
      <w:r w:rsidR="00F52DB0" w:rsidRPr="00EF48E5">
        <w:rPr>
          <w:lang w:val="es-419"/>
        </w:rPr>
        <w:t xml:space="preserve"> </w:t>
      </w:r>
    </w:p>
    <w:p w14:paraId="523F180F" w14:textId="4B6E5FA6" w:rsidR="00BB429C" w:rsidRPr="00EF48E5" w:rsidRDefault="00BB429C" w:rsidP="00BB429C">
      <w:pPr>
        <w:keepNext/>
        <w:spacing w:before="160"/>
        <w:jc w:val="both"/>
        <w:rPr>
          <w:b/>
          <w:bCs/>
          <w:lang w:val="es-419"/>
        </w:rPr>
      </w:pPr>
      <w:bookmarkStart w:id="24" w:name="_Toc38989972"/>
      <w:bookmarkEnd w:id="23"/>
      <w:r w:rsidRPr="00EF48E5">
        <w:rPr>
          <w:b/>
          <w:bCs/>
          <w:lang w:val="es-419"/>
        </w:rPr>
        <w:t xml:space="preserve">Objetivos del </w:t>
      </w:r>
      <w:bookmarkEnd w:id="24"/>
      <w:r w:rsidRPr="00EF48E5">
        <w:rPr>
          <w:b/>
          <w:bCs/>
          <w:lang w:val="es-419"/>
        </w:rPr>
        <w:t>GRM</w:t>
      </w:r>
    </w:p>
    <w:p w14:paraId="598ACA9E" w14:textId="6B0047F9" w:rsidR="00BB429C" w:rsidRPr="00EF48E5" w:rsidRDefault="00BB429C" w:rsidP="00BB429C">
      <w:pPr>
        <w:jc w:val="both"/>
        <w:rPr>
          <w:lang w:val="es-419"/>
        </w:rPr>
      </w:pPr>
      <w:r w:rsidRPr="00EF48E5">
        <w:rPr>
          <w:lang w:val="es-419"/>
        </w:rPr>
        <w:t>Los objetivos del GRM son los siguientes:</w:t>
      </w:r>
    </w:p>
    <w:p w14:paraId="3C8C0111" w14:textId="30806F9C" w:rsidR="00BB429C" w:rsidRPr="00EF48E5" w:rsidRDefault="00BB429C" w:rsidP="00BB429C">
      <w:pPr>
        <w:pStyle w:val="ListParagraph"/>
        <w:numPr>
          <w:ilvl w:val="0"/>
          <w:numId w:val="21"/>
        </w:numPr>
        <w:spacing w:after="0" w:line="259" w:lineRule="auto"/>
        <w:contextualSpacing w:val="0"/>
        <w:jc w:val="both"/>
        <w:rPr>
          <w:rFonts w:cstheme="minorHAnsi"/>
          <w:lang w:val="es-419"/>
        </w:rPr>
      </w:pPr>
      <w:r w:rsidRPr="00EF48E5">
        <w:rPr>
          <w:rFonts w:cstheme="minorHAnsi"/>
          <w:lang w:val="es-419"/>
        </w:rPr>
        <w:t>Aseg</w:t>
      </w:r>
      <w:r w:rsidR="002E1BE0">
        <w:rPr>
          <w:rFonts w:cstheme="minorHAnsi"/>
          <w:lang w:val="es-419"/>
        </w:rPr>
        <w:t>urarse</w:t>
      </w:r>
      <w:r w:rsidRPr="00EF48E5">
        <w:rPr>
          <w:rFonts w:cstheme="minorHAnsi"/>
          <w:lang w:val="es-419"/>
        </w:rPr>
        <w:t xml:space="preserve"> de que se cumplan los NAS del Banco Mundial en todas las actividades del proyecto.</w:t>
      </w:r>
    </w:p>
    <w:p w14:paraId="6211B1B4" w14:textId="77777777" w:rsidR="00BB429C" w:rsidRPr="00EF48E5" w:rsidRDefault="00BB429C" w:rsidP="00BB429C">
      <w:pPr>
        <w:pStyle w:val="ListParagraph"/>
        <w:numPr>
          <w:ilvl w:val="0"/>
          <w:numId w:val="21"/>
        </w:numPr>
        <w:spacing w:after="0" w:line="259" w:lineRule="auto"/>
        <w:contextualSpacing w:val="0"/>
        <w:jc w:val="both"/>
        <w:rPr>
          <w:rFonts w:cstheme="minorHAnsi"/>
          <w:lang w:val="es-419"/>
        </w:rPr>
      </w:pPr>
      <w:r w:rsidRPr="00EF48E5">
        <w:rPr>
          <w:rFonts w:cstheme="minorHAnsi"/>
          <w:lang w:val="es-419"/>
        </w:rPr>
        <w:t>Abordar cualquier impacto ambiental y social negativo de todas las actividades del proyecto.</w:t>
      </w:r>
    </w:p>
    <w:p w14:paraId="5BDB3FFF" w14:textId="77777777" w:rsidR="00BB429C" w:rsidRPr="00EF48E5" w:rsidRDefault="00BB429C" w:rsidP="00BB429C">
      <w:pPr>
        <w:pStyle w:val="ListParagraph"/>
        <w:numPr>
          <w:ilvl w:val="0"/>
          <w:numId w:val="21"/>
        </w:numPr>
        <w:spacing w:after="0" w:line="259" w:lineRule="auto"/>
        <w:contextualSpacing w:val="0"/>
        <w:jc w:val="both"/>
        <w:rPr>
          <w:rFonts w:cstheme="minorHAnsi"/>
          <w:lang w:val="es-419"/>
        </w:rPr>
      </w:pPr>
      <w:r w:rsidRPr="00EF48E5">
        <w:rPr>
          <w:rFonts w:cstheme="minorHAnsi"/>
          <w:lang w:val="es-419"/>
        </w:rPr>
        <w:t>Resolver todas las quejas que surjan de las actividades del proyecto de manera oportuna.</w:t>
      </w:r>
    </w:p>
    <w:p w14:paraId="05331246" w14:textId="77777777" w:rsidR="00BB429C" w:rsidRPr="00EF48E5" w:rsidRDefault="00BB429C" w:rsidP="00BB429C">
      <w:pPr>
        <w:pStyle w:val="ListParagraph"/>
        <w:numPr>
          <w:ilvl w:val="0"/>
          <w:numId w:val="21"/>
        </w:numPr>
        <w:spacing w:after="0" w:line="259" w:lineRule="auto"/>
        <w:contextualSpacing w:val="0"/>
        <w:jc w:val="both"/>
        <w:rPr>
          <w:rFonts w:cstheme="minorHAnsi"/>
          <w:lang w:val="es-419"/>
        </w:rPr>
      </w:pPr>
      <w:r w:rsidRPr="00EF48E5">
        <w:rPr>
          <w:rFonts w:cstheme="minorHAnsi"/>
          <w:lang w:val="es-419"/>
        </w:rPr>
        <w:t>Establecer relaciones de confianza entre el personal del proyecto y las partes interesadas.</w:t>
      </w:r>
    </w:p>
    <w:p w14:paraId="1350CBD8" w14:textId="77777777" w:rsidR="00BB429C" w:rsidRPr="00EF48E5" w:rsidRDefault="00BB429C" w:rsidP="00BB429C">
      <w:pPr>
        <w:pStyle w:val="ListParagraph"/>
        <w:numPr>
          <w:ilvl w:val="0"/>
          <w:numId w:val="21"/>
        </w:numPr>
        <w:spacing w:after="0" w:line="259" w:lineRule="auto"/>
        <w:contextualSpacing w:val="0"/>
        <w:jc w:val="both"/>
        <w:rPr>
          <w:rFonts w:cstheme="minorHAnsi"/>
          <w:lang w:val="es-419"/>
        </w:rPr>
      </w:pPr>
      <w:r w:rsidRPr="00EF48E5">
        <w:rPr>
          <w:rFonts w:cstheme="minorHAnsi"/>
          <w:lang w:val="es-419"/>
        </w:rPr>
        <w:t>Crear transparencia entre las partes interesadas, incluidas las personas afectadas, a través de un sistema de comunicación establecido.</w:t>
      </w:r>
    </w:p>
    <w:p w14:paraId="1DA8CABA" w14:textId="77777777" w:rsidR="00BB429C" w:rsidRPr="00EF48E5" w:rsidRDefault="00BB429C" w:rsidP="00BB429C">
      <w:pPr>
        <w:pStyle w:val="ListParagraph"/>
        <w:numPr>
          <w:ilvl w:val="0"/>
          <w:numId w:val="21"/>
        </w:numPr>
        <w:spacing w:after="0" w:line="259" w:lineRule="auto"/>
        <w:contextualSpacing w:val="0"/>
        <w:jc w:val="both"/>
        <w:rPr>
          <w:rFonts w:cstheme="minorHAnsi"/>
          <w:lang w:val="es-419"/>
        </w:rPr>
      </w:pPr>
      <w:r w:rsidRPr="00EF48E5">
        <w:rPr>
          <w:rFonts w:cstheme="minorHAnsi"/>
          <w:lang w:val="es-419"/>
        </w:rPr>
        <w:t>Reforzar la relación de confianza entre el personal del proyecto y las partes afectadas.</w:t>
      </w:r>
    </w:p>
    <w:p w14:paraId="6F5DB6BA" w14:textId="44B55DB6" w:rsidR="008A2777" w:rsidRPr="00EF48E5" w:rsidRDefault="008A2777" w:rsidP="006C496E">
      <w:pPr>
        <w:autoSpaceDE w:val="0"/>
        <w:autoSpaceDN w:val="0"/>
        <w:adjustRightInd w:val="0"/>
        <w:jc w:val="both"/>
        <w:rPr>
          <w:lang w:val="es-419"/>
        </w:rPr>
      </w:pPr>
    </w:p>
    <w:p w14:paraId="567F1972" w14:textId="4DBAD238" w:rsidR="006C496E" w:rsidRPr="00EF48E5" w:rsidRDefault="006C496E" w:rsidP="006C496E">
      <w:pPr>
        <w:keepNext/>
        <w:spacing w:before="160"/>
        <w:rPr>
          <w:b/>
          <w:bCs/>
          <w:lang w:val="es-419"/>
        </w:rPr>
      </w:pPr>
      <w:bookmarkStart w:id="25" w:name="_Toc38989974"/>
      <w:r w:rsidRPr="00EF48E5">
        <w:rPr>
          <w:b/>
          <w:bCs/>
          <w:lang w:val="es-419"/>
        </w:rPr>
        <w:t xml:space="preserve">Primer </w:t>
      </w:r>
      <w:r w:rsidR="002E1BE0">
        <w:rPr>
          <w:b/>
          <w:bCs/>
          <w:lang w:val="es-419"/>
        </w:rPr>
        <w:t>n</w:t>
      </w:r>
      <w:r w:rsidRPr="00EF48E5">
        <w:rPr>
          <w:b/>
          <w:bCs/>
          <w:lang w:val="es-419"/>
        </w:rPr>
        <w:t xml:space="preserve">ivel de </w:t>
      </w:r>
      <w:r w:rsidR="002E1BE0">
        <w:rPr>
          <w:b/>
          <w:bCs/>
          <w:lang w:val="es-419"/>
        </w:rPr>
        <w:t>r</w:t>
      </w:r>
      <w:r w:rsidRPr="00EF48E5">
        <w:rPr>
          <w:b/>
          <w:bCs/>
          <w:lang w:val="es-419"/>
        </w:rPr>
        <w:t>eparación</w:t>
      </w:r>
      <w:bookmarkEnd w:id="25"/>
    </w:p>
    <w:p w14:paraId="7D1ED125" w14:textId="1434DCAC" w:rsidR="006C496E" w:rsidRPr="00EF48E5" w:rsidRDefault="006C496E" w:rsidP="00580AD1">
      <w:pPr>
        <w:pStyle w:val="ListParagraph"/>
        <w:keepNext/>
        <w:numPr>
          <w:ilvl w:val="0"/>
          <w:numId w:val="24"/>
        </w:numPr>
        <w:spacing w:after="0" w:line="259" w:lineRule="auto"/>
        <w:jc w:val="both"/>
        <w:rPr>
          <w:lang w:val="es-419"/>
        </w:rPr>
      </w:pPr>
      <w:r w:rsidRPr="00EF48E5">
        <w:rPr>
          <w:b/>
          <w:bCs/>
          <w:u w:val="single"/>
          <w:lang w:val="es-419"/>
        </w:rPr>
        <w:t>Recibir queja:</w:t>
      </w:r>
      <w:r w:rsidR="00512815" w:rsidRPr="00EF48E5">
        <w:rPr>
          <w:b/>
          <w:bCs/>
          <w:lang w:val="es-419"/>
        </w:rPr>
        <w:t xml:space="preserve">  </w:t>
      </w:r>
      <w:r w:rsidRPr="00EF48E5">
        <w:rPr>
          <w:lang w:val="es-419"/>
        </w:rPr>
        <w:t>Todas las quejas deben ser recibidas por el Gerente de RIT en CANARI. Las denuncias pueden realizarse personalmente, por escrito, verbalmente por teléfono, por correo electrónico o por cualquier otro medio adecuado. Las denuncias se pueden presentar de forma anónima. El punto de recepción de las denuncias se detalla a continuación:</w:t>
      </w:r>
    </w:p>
    <w:p w14:paraId="3A875A12" w14:textId="77777777" w:rsidR="006C496E" w:rsidRPr="00EF48E5" w:rsidRDefault="006C496E" w:rsidP="006C496E">
      <w:pPr>
        <w:spacing w:after="0"/>
        <w:jc w:val="both"/>
        <w:rPr>
          <w:lang w:val="es-419"/>
        </w:rPr>
      </w:pPr>
    </w:p>
    <w:tbl>
      <w:tblPr>
        <w:tblStyle w:val="TableGrid1"/>
        <w:tblW w:w="0" w:type="auto"/>
        <w:tblLayout w:type="fixed"/>
        <w:tblLook w:val="04A0" w:firstRow="1" w:lastRow="0" w:firstColumn="1" w:lastColumn="0" w:noHBand="0" w:noVBand="1"/>
      </w:tblPr>
      <w:tblGrid>
        <w:gridCol w:w="1705"/>
        <w:gridCol w:w="6840"/>
      </w:tblGrid>
      <w:tr w:rsidR="006C496E" w:rsidRPr="00EF48E5" w14:paraId="6DEF6F53" w14:textId="77777777" w:rsidTr="001B362D">
        <w:trPr>
          <w:tblHeader/>
        </w:trPr>
        <w:tc>
          <w:tcPr>
            <w:tcW w:w="1705" w:type="dxa"/>
            <w:shd w:val="clear" w:color="auto" w:fill="DEEAF6" w:themeFill="accent5" w:themeFillTint="33"/>
          </w:tcPr>
          <w:p w14:paraId="284E4335" w14:textId="77777777" w:rsidR="006C496E" w:rsidRPr="00EF48E5" w:rsidRDefault="006C496E" w:rsidP="001B362D">
            <w:pPr>
              <w:keepNext/>
              <w:spacing w:line="259" w:lineRule="auto"/>
              <w:rPr>
                <w:rFonts w:cstheme="minorHAnsi"/>
                <w:b/>
                <w:bCs/>
                <w:lang w:val="es-419"/>
              </w:rPr>
            </w:pPr>
            <w:r w:rsidRPr="00EF48E5">
              <w:rPr>
                <w:rFonts w:cstheme="minorHAnsi"/>
                <w:b/>
                <w:bCs/>
                <w:lang w:val="es-419"/>
              </w:rPr>
              <w:t>Contacto</w:t>
            </w:r>
          </w:p>
        </w:tc>
        <w:tc>
          <w:tcPr>
            <w:tcW w:w="6840" w:type="dxa"/>
            <w:shd w:val="clear" w:color="auto" w:fill="DEEAF6" w:themeFill="accent5" w:themeFillTint="33"/>
          </w:tcPr>
          <w:p w14:paraId="5D750937" w14:textId="77777777" w:rsidR="006C496E" w:rsidRPr="00EF48E5" w:rsidRDefault="006C496E" w:rsidP="001B362D">
            <w:pPr>
              <w:keepNext/>
              <w:spacing w:line="259" w:lineRule="auto"/>
              <w:rPr>
                <w:rFonts w:cstheme="minorHAnsi"/>
                <w:b/>
                <w:bCs/>
                <w:lang w:val="es-419"/>
              </w:rPr>
            </w:pPr>
          </w:p>
        </w:tc>
      </w:tr>
      <w:tr w:rsidR="006C496E" w:rsidRPr="00EF48E5" w14:paraId="3BC34DA4" w14:textId="77777777" w:rsidTr="001B362D">
        <w:tc>
          <w:tcPr>
            <w:tcW w:w="1705" w:type="dxa"/>
          </w:tcPr>
          <w:p w14:paraId="7BBDB38B" w14:textId="77777777" w:rsidR="006C496E" w:rsidRPr="00EF48E5" w:rsidRDefault="006C496E" w:rsidP="001B362D">
            <w:pPr>
              <w:spacing w:line="259" w:lineRule="auto"/>
              <w:rPr>
                <w:rFonts w:cstheme="minorHAnsi"/>
                <w:lang w:val="es-419"/>
              </w:rPr>
            </w:pPr>
            <w:r w:rsidRPr="00EF48E5">
              <w:rPr>
                <w:rFonts w:cstheme="minorHAnsi"/>
                <w:lang w:val="es-419"/>
              </w:rPr>
              <w:t>Teléfono</w:t>
            </w:r>
          </w:p>
        </w:tc>
        <w:tc>
          <w:tcPr>
            <w:tcW w:w="6840" w:type="dxa"/>
          </w:tcPr>
          <w:p w14:paraId="379DCCB7" w14:textId="3FBDB7D7" w:rsidR="006C496E" w:rsidRPr="00EF48E5" w:rsidRDefault="006C496E" w:rsidP="001B362D">
            <w:pPr>
              <w:spacing w:line="259" w:lineRule="auto"/>
              <w:rPr>
                <w:rFonts w:cstheme="minorHAnsi"/>
                <w:lang w:val="es-419"/>
              </w:rPr>
            </w:pPr>
            <w:r w:rsidRPr="00EF48E5">
              <w:rPr>
                <w:rFonts w:cstheme="minorHAnsi"/>
                <w:lang w:val="es-419"/>
              </w:rPr>
              <w:t>+1-868-638-6062</w:t>
            </w:r>
          </w:p>
        </w:tc>
      </w:tr>
      <w:tr w:rsidR="006C496E" w:rsidRPr="00EF48E5" w14:paraId="791DBF3C" w14:textId="77777777" w:rsidTr="001B362D">
        <w:tc>
          <w:tcPr>
            <w:tcW w:w="1705" w:type="dxa"/>
          </w:tcPr>
          <w:p w14:paraId="4E865927" w14:textId="77777777" w:rsidR="006C496E" w:rsidRPr="00EF48E5" w:rsidRDefault="006C496E" w:rsidP="001B362D">
            <w:pPr>
              <w:spacing w:line="259" w:lineRule="auto"/>
              <w:rPr>
                <w:rFonts w:cstheme="minorHAnsi"/>
                <w:lang w:val="es-419"/>
              </w:rPr>
            </w:pPr>
            <w:r w:rsidRPr="00EF48E5">
              <w:rPr>
                <w:rFonts w:cstheme="minorHAnsi"/>
                <w:lang w:val="es-419"/>
              </w:rPr>
              <w:t>Dirección de correo electrónico</w:t>
            </w:r>
          </w:p>
        </w:tc>
        <w:tc>
          <w:tcPr>
            <w:tcW w:w="6840" w:type="dxa"/>
          </w:tcPr>
          <w:p w14:paraId="13171F70" w14:textId="2F108175" w:rsidR="006C496E" w:rsidRPr="00EF48E5" w:rsidRDefault="00D462A8" w:rsidP="001B362D">
            <w:pPr>
              <w:spacing w:line="259" w:lineRule="auto"/>
              <w:rPr>
                <w:rFonts w:cstheme="minorHAnsi"/>
                <w:lang w:val="es-419"/>
              </w:rPr>
            </w:pPr>
            <w:hyperlink r:id="rId10" w:history="1">
              <w:r w:rsidR="00C53587" w:rsidRPr="00EF48E5">
                <w:rPr>
                  <w:rStyle w:val="Hyperlink"/>
                  <w:lang w:val="es-419"/>
                </w:rPr>
                <w:t>Director.Ejecutivo@canari.org</w:t>
              </w:r>
            </w:hyperlink>
            <w:r w:rsidR="00C53587" w:rsidRPr="00EF48E5">
              <w:rPr>
                <w:lang w:val="es-419"/>
              </w:rPr>
              <w:t xml:space="preserve"> </w:t>
            </w:r>
          </w:p>
        </w:tc>
      </w:tr>
      <w:tr w:rsidR="006C496E" w:rsidRPr="00EF48E5" w14:paraId="7C07F77E" w14:textId="77777777" w:rsidTr="001B362D">
        <w:tc>
          <w:tcPr>
            <w:tcW w:w="1705" w:type="dxa"/>
          </w:tcPr>
          <w:p w14:paraId="053E5FCE" w14:textId="77777777" w:rsidR="006C496E" w:rsidRPr="00EF48E5" w:rsidRDefault="006C496E" w:rsidP="001B362D">
            <w:pPr>
              <w:spacing w:line="259" w:lineRule="auto"/>
              <w:rPr>
                <w:rFonts w:cstheme="minorHAnsi"/>
                <w:lang w:val="es-419"/>
              </w:rPr>
            </w:pPr>
            <w:r w:rsidRPr="00EF48E5">
              <w:rPr>
                <w:rFonts w:cstheme="minorHAnsi"/>
                <w:lang w:val="es-419"/>
              </w:rPr>
              <w:t>Dirección física</w:t>
            </w:r>
          </w:p>
        </w:tc>
        <w:tc>
          <w:tcPr>
            <w:tcW w:w="6840" w:type="dxa"/>
          </w:tcPr>
          <w:p w14:paraId="44EE10D1" w14:textId="1F0CD8CC" w:rsidR="006C496E" w:rsidRPr="00EF48E5" w:rsidRDefault="006C496E" w:rsidP="001B362D">
            <w:pPr>
              <w:spacing w:line="259" w:lineRule="auto"/>
              <w:rPr>
                <w:rFonts w:cstheme="minorHAnsi"/>
                <w:lang w:val="es-419"/>
              </w:rPr>
            </w:pPr>
            <w:r w:rsidRPr="00EF48E5">
              <w:rPr>
                <w:lang w:val="es-419"/>
              </w:rPr>
              <w:t xml:space="preserve">Instituto de Recursos Naturales del Caribe, 105 </w:t>
            </w:r>
            <w:proofErr w:type="spellStart"/>
            <w:r w:rsidRPr="00EF48E5">
              <w:rPr>
                <w:lang w:val="es-419"/>
              </w:rPr>
              <w:t>Twelfth</w:t>
            </w:r>
            <w:proofErr w:type="spellEnd"/>
            <w:r w:rsidRPr="00EF48E5">
              <w:rPr>
                <w:lang w:val="es-419"/>
              </w:rPr>
              <w:t xml:space="preserve"> Street, Barataria, Trinidad y Tobago</w:t>
            </w:r>
          </w:p>
        </w:tc>
      </w:tr>
    </w:tbl>
    <w:p w14:paraId="7D961BDF" w14:textId="7A2501A2" w:rsidR="00512815" w:rsidRPr="00EF48E5" w:rsidRDefault="00512815" w:rsidP="00512815">
      <w:pPr>
        <w:pStyle w:val="Title"/>
        <w:tabs>
          <w:tab w:val="left" w:pos="993"/>
          <w:tab w:val="left" w:pos="1260"/>
        </w:tabs>
        <w:jc w:val="left"/>
        <w:rPr>
          <w:rFonts w:asciiTheme="minorHAnsi" w:hAnsiTheme="minorHAnsi" w:cstheme="minorHAnsi"/>
          <w:b w:val="0"/>
          <w:sz w:val="22"/>
          <w:szCs w:val="22"/>
          <w:lang w:val="es-419"/>
        </w:rPr>
      </w:pPr>
    </w:p>
    <w:p w14:paraId="743149F8" w14:textId="5A366723" w:rsidR="00512815" w:rsidRPr="00EF48E5" w:rsidRDefault="00512815" w:rsidP="00512815">
      <w:pPr>
        <w:spacing w:before="160"/>
        <w:jc w:val="both"/>
        <w:rPr>
          <w:b/>
          <w:bCs/>
          <w:lang w:val="es-419"/>
        </w:rPr>
      </w:pPr>
      <w:r w:rsidRPr="00EF48E5">
        <w:rPr>
          <w:b/>
          <w:bCs/>
          <w:lang w:val="es-419"/>
        </w:rPr>
        <w:t>Todas las quejas recibidas por el personal de RIT deben enviarse al Gerente de RIT dentro de las 24 horas posteriores a la recepción.</w:t>
      </w:r>
    </w:p>
    <w:p w14:paraId="78BC8B1A" w14:textId="77777777" w:rsidR="00512815" w:rsidRPr="00EF48E5" w:rsidRDefault="00512815" w:rsidP="00512815">
      <w:pPr>
        <w:pStyle w:val="Title"/>
        <w:tabs>
          <w:tab w:val="left" w:pos="993"/>
          <w:tab w:val="left" w:pos="1260"/>
        </w:tabs>
        <w:jc w:val="left"/>
        <w:rPr>
          <w:rFonts w:asciiTheme="minorHAnsi" w:hAnsiTheme="minorHAnsi" w:cstheme="minorHAnsi"/>
          <w:b w:val="0"/>
          <w:sz w:val="22"/>
          <w:szCs w:val="22"/>
          <w:lang w:val="es-419"/>
        </w:rPr>
      </w:pPr>
    </w:p>
    <w:p w14:paraId="316AED35" w14:textId="7384BA70" w:rsidR="00512815" w:rsidRPr="00EF48E5" w:rsidRDefault="00512815" w:rsidP="00512815">
      <w:pPr>
        <w:pStyle w:val="ListParagraph"/>
        <w:numPr>
          <w:ilvl w:val="0"/>
          <w:numId w:val="24"/>
        </w:numPr>
        <w:jc w:val="both"/>
        <w:rPr>
          <w:b/>
          <w:bCs/>
          <w:u w:val="single"/>
          <w:lang w:val="es-419"/>
        </w:rPr>
      </w:pPr>
      <w:r w:rsidRPr="00EF48E5">
        <w:rPr>
          <w:rFonts w:cstheme="minorHAnsi"/>
          <w:b/>
          <w:u w:val="single"/>
          <w:lang w:val="es-419"/>
        </w:rPr>
        <w:t>Reconocimiento:</w:t>
      </w:r>
      <w:r w:rsidRPr="00EF48E5">
        <w:rPr>
          <w:rFonts w:cstheme="minorHAnsi"/>
          <w:bCs/>
          <w:i/>
          <w:iCs/>
          <w:lang w:val="es-419"/>
        </w:rPr>
        <w:t xml:space="preserve"> </w:t>
      </w:r>
      <w:r w:rsidRPr="00EF48E5">
        <w:rPr>
          <w:lang w:val="es-419"/>
        </w:rPr>
        <w:t>Todas las quejas serán reconocidas por teléfono o por escrito por el Gerente de RIT dentro de las 48 horas posteriores a la recepción y se informará al reclamante sobre el plazo aproximado para abordar la queja, si no se puede abordar de inmediato. El Gerente de RIT buscará asegurar la pronta resolución de la queja. Si la queja no se puede resolver en este nivel, se lleva al siguiente nivel.</w:t>
      </w:r>
    </w:p>
    <w:p w14:paraId="165A392A" w14:textId="77777777" w:rsidR="00512815" w:rsidRPr="00EF48E5" w:rsidRDefault="00512815" w:rsidP="00512815">
      <w:pPr>
        <w:pStyle w:val="ListParagraph"/>
        <w:jc w:val="both"/>
        <w:rPr>
          <w:b/>
          <w:bCs/>
          <w:u w:val="single"/>
          <w:lang w:val="es-419"/>
        </w:rPr>
      </w:pPr>
    </w:p>
    <w:p w14:paraId="7FE2F682" w14:textId="570AB0A5" w:rsidR="00512815" w:rsidRPr="00EF48E5" w:rsidRDefault="00512815" w:rsidP="00512815">
      <w:pPr>
        <w:pStyle w:val="ListParagraph"/>
        <w:numPr>
          <w:ilvl w:val="0"/>
          <w:numId w:val="24"/>
        </w:numPr>
        <w:jc w:val="both"/>
        <w:rPr>
          <w:b/>
          <w:bCs/>
          <w:u w:val="single"/>
          <w:lang w:val="es-419"/>
        </w:rPr>
      </w:pPr>
      <w:r w:rsidRPr="00EF48E5">
        <w:rPr>
          <w:rFonts w:cstheme="minorHAnsi"/>
          <w:b/>
          <w:u w:val="single"/>
          <w:lang w:val="es-419"/>
        </w:rPr>
        <w:t>Registro:</w:t>
      </w:r>
      <w:r w:rsidRPr="00EF48E5">
        <w:rPr>
          <w:rFonts w:cstheme="minorHAnsi"/>
          <w:bCs/>
          <w:i/>
          <w:iCs/>
          <w:lang w:val="es-419"/>
        </w:rPr>
        <w:t xml:space="preserve"> </w:t>
      </w:r>
      <w:r w:rsidRPr="00EF48E5">
        <w:rPr>
          <w:rFonts w:cstheme="minorHAnsi"/>
          <w:lang w:val="es-419"/>
        </w:rPr>
        <w:t>La queja se registrará en el expediente de quejas de CANARI, incluyendo los documentos pertinentes.</w:t>
      </w:r>
    </w:p>
    <w:p w14:paraId="4117DA1A" w14:textId="77777777" w:rsidR="00512815" w:rsidRPr="00EF48E5" w:rsidRDefault="00512815" w:rsidP="00512815">
      <w:pPr>
        <w:pStyle w:val="ListParagraph"/>
        <w:rPr>
          <w:rFonts w:cstheme="minorHAnsi"/>
          <w:bCs/>
          <w:i/>
          <w:iCs/>
          <w:lang w:val="es-419"/>
        </w:rPr>
      </w:pPr>
    </w:p>
    <w:p w14:paraId="18BFA73C" w14:textId="3CEF93B2" w:rsidR="00512815" w:rsidRPr="00EF48E5" w:rsidRDefault="00512815" w:rsidP="00512815">
      <w:pPr>
        <w:pStyle w:val="ListParagraph"/>
        <w:numPr>
          <w:ilvl w:val="0"/>
          <w:numId w:val="24"/>
        </w:numPr>
        <w:jc w:val="both"/>
        <w:rPr>
          <w:b/>
          <w:bCs/>
          <w:u w:val="single"/>
          <w:lang w:val="es-419"/>
        </w:rPr>
      </w:pPr>
      <w:r w:rsidRPr="00EF48E5">
        <w:rPr>
          <w:rFonts w:cstheme="minorHAnsi"/>
          <w:b/>
          <w:u w:val="single"/>
          <w:lang w:val="es-419"/>
        </w:rPr>
        <w:t xml:space="preserve">Notificación: </w:t>
      </w:r>
      <w:r w:rsidRPr="00EF48E5">
        <w:rPr>
          <w:rFonts w:cstheme="minorHAnsi"/>
          <w:lang w:val="es-419"/>
        </w:rPr>
        <w:t>Comunicación de la queja de la siguiente manera:</w:t>
      </w:r>
    </w:p>
    <w:p w14:paraId="0B7F55D5" w14:textId="2267FC34" w:rsidR="00512815" w:rsidRPr="00EF48E5" w:rsidRDefault="00512815" w:rsidP="00512815">
      <w:pPr>
        <w:pStyle w:val="Title"/>
        <w:numPr>
          <w:ilvl w:val="1"/>
          <w:numId w:val="27"/>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 w:val="0"/>
          <w:sz w:val="22"/>
          <w:szCs w:val="22"/>
          <w:lang w:val="es-419"/>
        </w:rPr>
        <w:t xml:space="preserve">Si se trata del proyecto RIT, comunicación al Gerente RIT, con copia al </w:t>
      </w:r>
      <w:proofErr w:type="gramStart"/>
      <w:r w:rsidRPr="00EF48E5">
        <w:rPr>
          <w:rFonts w:asciiTheme="minorHAnsi" w:hAnsiTheme="minorHAnsi" w:cstheme="minorHAnsi"/>
          <w:b w:val="0"/>
          <w:sz w:val="22"/>
          <w:szCs w:val="22"/>
          <w:lang w:val="es-419"/>
        </w:rPr>
        <w:t>Director</w:t>
      </w:r>
      <w:proofErr w:type="gramEnd"/>
      <w:r w:rsidRPr="00EF48E5">
        <w:rPr>
          <w:rFonts w:asciiTheme="minorHAnsi" w:hAnsiTheme="minorHAnsi" w:cstheme="minorHAnsi"/>
          <w:b w:val="0"/>
          <w:sz w:val="22"/>
          <w:szCs w:val="22"/>
          <w:lang w:val="es-419"/>
        </w:rPr>
        <w:t xml:space="preserve"> de Programas de CANARI</w:t>
      </w:r>
      <w:r w:rsidR="00ED622F">
        <w:rPr>
          <w:rFonts w:asciiTheme="minorHAnsi" w:hAnsiTheme="minorHAnsi" w:cstheme="minorHAnsi"/>
          <w:b w:val="0"/>
          <w:sz w:val="22"/>
          <w:szCs w:val="22"/>
          <w:lang w:val="es-419"/>
        </w:rPr>
        <w:t>.</w:t>
      </w:r>
    </w:p>
    <w:p w14:paraId="0E861B3E" w14:textId="22BE6602" w:rsidR="00512815" w:rsidRPr="00EF48E5" w:rsidRDefault="00512815" w:rsidP="00512815">
      <w:pPr>
        <w:pStyle w:val="Title"/>
        <w:numPr>
          <w:ilvl w:val="1"/>
          <w:numId w:val="27"/>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 w:val="0"/>
          <w:sz w:val="22"/>
          <w:szCs w:val="22"/>
          <w:lang w:val="es-419"/>
        </w:rPr>
        <w:t xml:space="preserve">También se notificará al </w:t>
      </w:r>
      <w:proofErr w:type="gramStart"/>
      <w:r w:rsidRPr="00EF48E5">
        <w:rPr>
          <w:rFonts w:asciiTheme="minorHAnsi" w:hAnsiTheme="minorHAnsi" w:cstheme="minorHAnsi"/>
          <w:b w:val="0"/>
          <w:sz w:val="22"/>
          <w:szCs w:val="22"/>
          <w:lang w:val="es-419"/>
        </w:rPr>
        <w:t>Director</w:t>
      </w:r>
      <w:proofErr w:type="gramEnd"/>
      <w:r w:rsidRPr="00EF48E5">
        <w:rPr>
          <w:rFonts w:asciiTheme="minorHAnsi" w:hAnsiTheme="minorHAnsi" w:cstheme="minorHAnsi"/>
          <w:b w:val="0"/>
          <w:sz w:val="22"/>
          <w:szCs w:val="22"/>
          <w:lang w:val="es-419"/>
        </w:rPr>
        <w:t xml:space="preserve"> de Subvenciones del CEPF dentro de los 15 días.</w:t>
      </w:r>
    </w:p>
    <w:p w14:paraId="7D5C1C10" w14:textId="7F999D59" w:rsidR="00461DA1" w:rsidRPr="00EF48E5" w:rsidRDefault="00461DA1" w:rsidP="00461DA1">
      <w:pPr>
        <w:pStyle w:val="Title"/>
        <w:numPr>
          <w:ilvl w:val="1"/>
          <w:numId w:val="27"/>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 w:val="0"/>
          <w:sz w:val="22"/>
          <w:szCs w:val="22"/>
          <w:lang w:val="es-419"/>
        </w:rPr>
        <w:t xml:space="preserve">Si se trata de operaciones/actividades generales de CANARI, comunicación al </w:t>
      </w:r>
      <w:proofErr w:type="gramStart"/>
      <w:r w:rsidRPr="00EF48E5">
        <w:rPr>
          <w:rFonts w:asciiTheme="minorHAnsi" w:hAnsiTheme="minorHAnsi" w:cstheme="minorHAnsi"/>
          <w:b w:val="0"/>
          <w:sz w:val="22"/>
          <w:szCs w:val="22"/>
          <w:lang w:val="es-419"/>
        </w:rPr>
        <w:t>Director Ejecutivo</w:t>
      </w:r>
      <w:proofErr w:type="gramEnd"/>
      <w:r w:rsidRPr="00EF48E5">
        <w:rPr>
          <w:rFonts w:asciiTheme="minorHAnsi" w:hAnsiTheme="minorHAnsi" w:cstheme="minorHAnsi"/>
          <w:b w:val="0"/>
          <w:sz w:val="22"/>
          <w:szCs w:val="22"/>
          <w:lang w:val="es-419"/>
        </w:rPr>
        <w:t xml:space="preserve"> de CANARI.</w:t>
      </w:r>
    </w:p>
    <w:p w14:paraId="5BB84182" w14:textId="77777777" w:rsidR="009353DF" w:rsidRPr="00EF48E5" w:rsidRDefault="009353DF" w:rsidP="009353DF">
      <w:pPr>
        <w:pStyle w:val="Title"/>
        <w:tabs>
          <w:tab w:val="left" w:pos="993"/>
          <w:tab w:val="left" w:pos="1260"/>
          <w:tab w:val="left" w:pos="1620"/>
          <w:tab w:val="left" w:pos="1800"/>
        </w:tabs>
        <w:jc w:val="left"/>
        <w:rPr>
          <w:rFonts w:asciiTheme="minorHAnsi" w:hAnsiTheme="minorHAnsi" w:cstheme="minorHAnsi"/>
          <w:bCs/>
          <w:i/>
          <w:iCs/>
          <w:sz w:val="22"/>
          <w:szCs w:val="22"/>
          <w:lang w:val="es-419"/>
        </w:rPr>
      </w:pPr>
    </w:p>
    <w:p w14:paraId="096E0122" w14:textId="00F2A2B2" w:rsidR="009353DF" w:rsidRPr="00EF48E5" w:rsidRDefault="00512815" w:rsidP="009353DF">
      <w:pPr>
        <w:pStyle w:val="Title"/>
        <w:numPr>
          <w:ilvl w:val="0"/>
          <w:numId w:val="24"/>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Cs/>
          <w:sz w:val="22"/>
          <w:szCs w:val="22"/>
          <w:u w:val="single"/>
          <w:lang w:val="es-419"/>
        </w:rPr>
        <w:t>Evaluación</w:t>
      </w:r>
      <w:r w:rsidR="00EA4CD7">
        <w:rPr>
          <w:rFonts w:asciiTheme="minorHAnsi" w:hAnsiTheme="minorHAnsi" w:cstheme="minorHAnsi"/>
          <w:bCs/>
          <w:sz w:val="22"/>
          <w:szCs w:val="22"/>
          <w:u w:val="single"/>
          <w:lang w:val="es-419"/>
        </w:rPr>
        <w:t>:</w:t>
      </w:r>
      <w:r w:rsidRPr="00EF48E5">
        <w:rPr>
          <w:rFonts w:asciiTheme="minorHAnsi" w:hAnsiTheme="minorHAnsi" w:cstheme="minorHAnsi"/>
          <w:bCs/>
          <w:i/>
          <w:iCs/>
          <w:sz w:val="22"/>
          <w:szCs w:val="22"/>
          <w:lang w:val="es-419"/>
        </w:rPr>
        <w:t xml:space="preserve"> </w:t>
      </w:r>
      <w:r w:rsidRPr="00EF48E5">
        <w:rPr>
          <w:rFonts w:asciiTheme="minorHAnsi" w:hAnsiTheme="minorHAnsi" w:cstheme="minorHAnsi"/>
          <w:b w:val="0"/>
          <w:sz w:val="22"/>
          <w:szCs w:val="22"/>
          <w:lang w:val="es-419"/>
        </w:rPr>
        <w:t>Se toma una decisión sobre la naturaleza de la investigación que se llevará a cabo.</w:t>
      </w:r>
    </w:p>
    <w:p w14:paraId="743703C9" w14:textId="77777777" w:rsidR="009353DF" w:rsidRPr="00EF48E5" w:rsidRDefault="009353DF" w:rsidP="009353DF">
      <w:pPr>
        <w:pStyle w:val="Title"/>
        <w:tabs>
          <w:tab w:val="left" w:pos="993"/>
          <w:tab w:val="left" w:pos="1260"/>
          <w:tab w:val="left" w:pos="1620"/>
          <w:tab w:val="left" w:pos="1800"/>
        </w:tabs>
        <w:ind w:left="720"/>
        <w:jc w:val="left"/>
        <w:rPr>
          <w:rFonts w:asciiTheme="minorHAnsi" w:hAnsiTheme="minorHAnsi" w:cstheme="minorHAnsi"/>
          <w:b w:val="0"/>
          <w:sz w:val="22"/>
          <w:szCs w:val="22"/>
          <w:lang w:val="es-419"/>
        </w:rPr>
      </w:pPr>
    </w:p>
    <w:p w14:paraId="5E28B2B3" w14:textId="5E626452" w:rsidR="009353DF" w:rsidRPr="00EA4CD7" w:rsidRDefault="00512815" w:rsidP="001E1CE6">
      <w:pPr>
        <w:pStyle w:val="Title"/>
        <w:numPr>
          <w:ilvl w:val="0"/>
          <w:numId w:val="24"/>
        </w:numPr>
        <w:tabs>
          <w:tab w:val="left" w:pos="993"/>
          <w:tab w:val="left" w:pos="1260"/>
          <w:tab w:val="left" w:pos="1620"/>
          <w:tab w:val="left" w:pos="1800"/>
        </w:tabs>
        <w:jc w:val="left"/>
        <w:rPr>
          <w:rFonts w:cstheme="minorHAnsi"/>
          <w:bCs/>
          <w:i/>
          <w:iCs/>
          <w:lang w:val="es-419"/>
        </w:rPr>
      </w:pPr>
      <w:r w:rsidRPr="00EA4CD7">
        <w:rPr>
          <w:rFonts w:asciiTheme="minorHAnsi" w:hAnsiTheme="minorHAnsi" w:cstheme="minorHAnsi"/>
          <w:bCs/>
          <w:sz w:val="22"/>
          <w:szCs w:val="22"/>
          <w:u w:val="single"/>
          <w:lang w:val="es-419"/>
        </w:rPr>
        <w:t>Investigación</w:t>
      </w:r>
      <w:r w:rsidRPr="00EA4CD7">
        <w:rPr>
          <w:rFonts w:asciiTheme="minorHAnsi" w:hAnsiTheme="minorHAnsi" w:cstheme="minorHAnsi"/>
          <w:bCs/>
          <w:i/>
          <w:iCs/>
          <w:sz w:val="22"/>
          <w:szCs w:val="22"/>
          <w:lang w:val="es-419"/>
        </w:rPr>
        <w:t xml:space="preserve">: </w:t>
      </w:r>
      <w:r w:rsidRPr="00EA4CD7">
        <w:rPr>
          <w:rFonts w:asciiTheme="minorHAnsi" w:hAnsiTheme="minorHAnsi" w:cstheme="minorHAnsi"/>
          <w:sz w:val="22"/>
          <w:szCs w:val="22"/>
          <w:lang w:val="es-419"/>
        </w:rPr>
        <w:t>Investigación adecuada</w:t>
      </w:r>
      <w:r w:rsidRPr="00EA4CD7">
        <w:rPr>
          <w:rFonts w:asciiTheme="minorHAnsi" w:hAnsiTheme="minorHAnsi" w:cstheme="minorHAnsi"/>
          <w:b w:val="0"/>
          <w:sz w:val="22"/>
          <w:szCs w:val="22"/>
          <w:lang w:val="es-419"/>
        </w:rPr>
        <w:t xml:space="preserve"> de la queja por parte de un equipo interno asignado a esta tarea (por ejemplo, puede incluir personal directamente involucrado, así como el Gerente de RIT y el Director de </w:t>
      </w:r>
      <w:proofErr w:type="gramStart"/>
      <w:r w:rsidRPr="00EA4CD7">
        <w:rPr>
          <w:rFonts w:asciiTheme="minorHAnsi" w:hAnsiTheme="minorHAnsi" w:cstheme="minorHAnsi"/>
          <w:b w:val="0"/>
          <w:sz w:val="22"/>
          <w:szCs w:val="22"/>
          <w:lang w:val="es-419"/>
        </w:rPr>
        <w:t>Programas )</w:t>
      </w:r>
      <w:proofErr w:type="gramEnd"/>
      <w:r w:rsidRPr="00EA4CD7">
        <w:rPr>
          <w:rFonts w:asciiTheme="minorHAnsi" w:hAnsiTheme="minorHAnsi" w:cstheme="minorHAnsi"/>
          <w:b w:val="0"/>
          <w:sz w:val="22"/>
          <w:szCs w:val="22"/>
          <w:lang w:val="es-419"/>
        </w:rPr>
        <w:t xml:space="preserve">. La investigación puede incluir reuniones con el denunciante y otras partes interesadas y una revisión de los documentos pertinentes. Una parte imparcial </w:t>
      </w:r>
      <w:r w:rsidRPr="00EA4CD7">
        <w:rPr>
          <w:rFonts w:asciiTheme="minorHAnsi" w:hAnsiTheme="minorHAnsi" w:cstheme="minorHAnsi"/>
          <w:b w:val="0"/>
          <w:sz w:val="22"/>
          <w:szCs w:val="22"/>
          <w:lang w:val="es-419"/>
        </w:rPr>
        <w:lastRenderedPageBreak/>
        <w:t>participará en las reuniones con el denunciante. Los representantes de la comunidad o los representantes del denunciante podrán asistir a estas reuniones.</w:t>
      </w:r>
      <w:r w:rsidR="009353DF" w:rsidRPr="00EA4CD7">
        <w:rPr>
          <w:lang w:val="es-419"/>
        </w:rPr>
        <w:t xml:space="preserve"> </w:t>
      </w:r>
      <w:r w:rsidRPr="00EA4CD7">
        <w:rPr>
          <w:rFonts w:asciiTheme="minorHAnsi" w:hAnsiTheme="minorHAnsi" w:cstheme="minorHAnsi"/>
          <w:b w:val="0"/>
          <w:sz w:val="22"/>
          <w:szCs w:val="22"/>
          <w:lang w:val="es-419"/>
        </w:rPr>
        <w:t>Las actas de las reuniones y los documentos se agregarán al archivo de quejas.</w:t>
      </w:r>
    </w:p>
    <w:p w14:paraId="0D4A6219" w14:textId="77777777" w:rsidR="00EA4CD7" w:rsidRPr="00EA4CD7" w:rsidRDefault="00EA4CD7" w:rsidP="00EA4CD7">
      <w:pPr>
        <w:pStyle w:val="ListParagraph"/>
        <w:rPr>
          <w:rFonts w:cstheme="minorHAnsi"/>
          <w:bCs/>
          <w:i/>
          <w:iCs/>
          <w:sz w:val="16"/>
          <w:szCs w:val="16"/>
          <w:lang w:val="es-419"/>
        </w:rPr>
      </w:pPr>
    </w:p>
    <w:p w14:paraId="35414FDB" w14:textId="5B2E0320" w:rsidR="00512815" w:rsidRPr="00EF48E5" w:rsidRDefault="00512815" w:rsidP="009353DF">
      <w:pPr>
        <w:pStyle w:val="Title"/>
        <w:numPr>
          <w:ilvl w:val="0"/>
          <w:numId w:val="24"/>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Cs/>
          <w:sz w:val="22"/>
          <w:szCs w:val="22"/>
          <w:u w:val="single"/>
          <w:lang w:val="es-419"/>
        </w:rPr>
        <w:t>Resolución:</w:t>
      </w:r>
      <w:r w:rsidRPr="00EF48E5">
        <w:rPr>
          <w:rFonts w:asciiTheme="minorHAnsi" w:hAnsiTheme="minorHAnsi" w:cstheme="minorHAnsi"/>
          <w:bCs/>
          <w:i/>
          <w:iCs/>
          <w:sz w:val="22"/>
          <w:szCs w:val="22"/>
          <w:lang w:val="es-419"/>
        </w:rPr>
        <w:t xml:space="preserve"> </w:t>
      </w:r>
      <w:r w:rsidRPr="00EF48E5">
        <w:rPr>
          <w:rFonts w:asciiTheme="minorHAnsi" w:hAnsiTheme="minorHAnsi" w:cstheme="minorHAnsi"/>
          <w:b w:val="0"/>
          <w:sz w:val="22"/>
          <w:szCs w:val="22"/>
          <w:lang w:val="es-419"/>
        </w:rPr>
        <w:t>Según los resultados de la investigación:</w:t>
      </w:r>
    </w:p>
    <w:p w14:paraId="5573D4F1" w14:textId="77777777" w:rsidR="009353DF" w:rsidRPr="00EF48E5" w:rsidRDefault="00512815" w:rsidP="009353DF">
      <w:pPr>
        <w:pStyle w:val="Title"/>
        <w:numPr>
          <w:ilvl w:val="0"/>
          <w:numId w:val="30"/>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 w:val="0"/>
          <w:sz w:val="22"/>
          <w:szCs w:val="22"/>
          <w:lang w:val="es-419"/>
        </w:rPr>
        <w:t>Se decide una resolución inmediatamente.</w:t>
      </w:r>
    </w:p>
    <w:p w14:paraId="4DE548C9" w14:textId="77777777" w:rsidR="009353DF" w:rsidRPr="00EF48E5" w:rsidRDefault="00512815" w:rsidP="009353DF">
      <w:pPr>
        <w:pStyle w:val="Title"/>
        <w:numPr>
          <w:ilvl w:val="2"/>
          <w:numId w:val="30"/>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 w:val="0"/>
          <w:sz w:val="22"/>
          <w:szCs w:val="22"/>
          <w:lang w:val="es-419"/>
        </w:rPr>
        <w:t>La denuncia es rechazada</w:t>
      </w:r>
    </w:p>
    <w:p w14:paraId="0A704C29" w14:textId="77777777" w:rsidR="009353DF" w:rsidRPr="00EF48E5" w:rsidRDefault="00512815" w:rsidP="009353DF">
      <w:pPr>
        <w:pStyle w:val="Title"/>
        <w:numPr>
          <w:ilvl w:val="2"/>
          <w:numId w:val="30"/>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 w:val="0"/>
          <w:sz w:val="22"/>
          <w:szCs w:val="22"/>
          <w:lang w:val="es-419"/>
        </w:rPr>
        <w:t>Se acuerda una respuesta</w:t>
      </w:r>
    </w:p>
    <w:p w14:paraId="1FC341F9" w14:textId="624EF740" w:rsidR="00512815" w:rsidRPr="00EF48E5" w:rsidRDefault="00512815" w:rsidP="009353DF">
      <w:pPr>
        <w:pStyle w:val="Title"/>
        <w:numPr>
          <w:ilvl w:val="2"/>
          <w:numId w:val="30"/>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 w:val="0"/>
          <w:sz w:val="22"/>
          <w:szCs w:val="22"/>
          <w:lang w:val="es-419"/>
        </w:rPr>
        <w:t>Se remite la denuncia según corresponda</w:t>
      </w:r>
    </w:p>
    <w:p w14:paraId="20C6AF06" w14:textId="1A5FEE7E" w:rsidR="00512815" w:rsidRPr="00EF48E5" w:rsidRDefault="00512815" w:rsidP="009353DF">
      <w:pPr>
        <w:pStyle w:val="Title"/>
        <w:numPr>
          <w:ilvl w:val="0"/>
          <w:numId w:val="31"/>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 w:val="0"/>
          <w:sz w:val="22"/>
          <w:szCs w:val="22"/>
          <w:lang w:val="es-419"/>
        </w:rPr>
        <w:t xml:space="preserve">No se puede lograr una resolución y el caso se presenta al </w:t>
      </w:r>
      <w:proofErr w:type="gramStart"/>
      <w:r w:rsidRPr="00EF48E5">
        <w:rPr>
          <w:rFonts w:asciiTheme="minorHAnsi" w:hAnsiTheme="minorHAnsi" w:cstheme="minorHAnsi"/>
          <w:b w:val="0"/>
          <w:sz w:val="22"/>
          <w:szCs w:val="22"/>
          <w:lang w:val="es-419"/>
        </w:rPr>
        <w:t>Director</w:t>
      </w:r>
      <w:proofErr w:type="gramEnd"/>
      <w:r w:rsidRPr="00EF48E5">
        <w:rPr>
          <w:rFonts w:asciiTheme="minorHAnsi" w:hAnsiTheme="minorHAnsi" w:cstheme="minorHAnsi"/>
          <w:b w:val="0"/>
          <w:sz w:val="22"/>
          <w:szCs w:val="22"/>
          <w:lang w:val="es-419"/>
        </w:rPr>
        <w:t xml:space="preserve"> de Subvenciones del CEPF o al Comité de Quejas de CANARI para obtener más información.</w:t>
      </w:r>
    </w:p>
    <w:p w14:paraId="0C8FE487" w14:textId="77777777" w:rsidR="009353DF" w:rsidRPr="00EF48E5" w:rsidRDefault="009353DF" w:rsidP="009353DF">
      <w:pPr>
        <w:pStyle w:val="Title"/>
        <w:tabs>
          <w:tab w:val="left" w:pos="993"/>
          <w:tab w:val="left" w:pos="1260"/>
          <w:tab w:val="left" w:pos="1620"/>
          <w:tab w:val="left" w:pos="1800"/>
        </w:tabs>
        <w:ind w:left="360"/>
        <w:jc w:val="left"/>
        <w:rPr>
          <w:rFonts w:asciiTheme="minorHAnsi" w:hAnsiTheme="minorHAnsi" w:cstheme="minorHAnsi"/>
          <w:b w:val="0"/>
          <w:sz w:val="22"/>
          <w:szCs w:val="22"/>
          <w:lang w:val="es-419"/>
        </w:rPr>
      </w:pPr>
    </w:p>
    <w:p w14:paraId="6D162E6F" w14:textId="741F8AAB" w:rsidR="009353DF" w:rsidRPr="00EF48E5" w:rsidRDefault="00512815" w:rsidP="009353DF">
      <w:pPr>
        <w:pStyle w:val="Title"/>
        <w:numPr>
          <w:ilvl w:val="0"/>
          <w:numId w:val="32"/>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Cs/>
          <w:sz w:val="22"/>
          <w:szCs w:val="22"/>
          <w:u w:val="single"/>
          <w:lang w:val="es-419"/>
        </w:rPr>
        <w:t>Comunicación:</w:t>
      </w:r>
      <w:r w:rsidRPr="00EF48E5">
        <w:rPr>
          <w:rFonts w:asciiTheme="minorHAnsi" w:hAnsiTheme="minorHAnsi" w:cstheme="minorHAnsi"/>
          <w:bCs/>
          <w:i/>
          <w:iCs/>
          <w:sz w:val="22"/>
          <w:szCs w:val="22"/>
          <w:lang w:val="es-419"/>
        </w:rPr>
        <w:t xml:space="preserve"> </w:t>
      </w:r>
      <w:r w:rsidRPr="00EF48E5">
        <w:rPr>
          <w:rFonts w:asciiTheme="minorHAnsi" w:hAnsiTheme="minorHAnsi" w:cstheme="minorHAnsi"/>
          <w:b w:val="0"/>
          <w:sz w:val="22"/>
          <w:szCs w:val="22"/>
          <w:lang w:val="es-419"/>
        </w:rPr>
        <w:t>Una vez que se ha llegado a una resolución, la decisión se comunica al denunciante por escrito. Los documentos se agregan al archivo de quejas.</w:t>
      </w:r>
    </w:p>
    <w:p w14:paraId="33092819" w14:textId="77777777" w:rsidR="009353DF" w:rsidRPr="00EF48E5" w:rsidRDefault="009353DF" w:rsidP="009353DF">
      <w:pPr>
        <w:pStyle w:val="Title"/>
        <w:tabs>
          <w:tab w:val="left" w:pos="993"/>
          <w:tab w:val="left" w:pos="1260"/>
          <w:tab w:val="left" w:pos="1620"/>
          <w:tab w:val="left" w:pos="1800"/>
        </w:tabs>
        <w:ind w:left="360"/>
        <w:jc w:val="left"/>
        <w:rPr>
          <w:rFonts w:asciiTheme="minorHAnsi" w:hAnsiTheme="minorHAnsi" w:cstheme="minorHAnsi"/>
          <w:b w:val="0"/>
          <w:sz w:val="22"/>
          <w:szCs w:val="22"/>
          <w:lang w:val="es-419"/>
        </w:rPr>
      </w:pPr>
    </w:p>
    <w:p w14:paraId="6FA01EF8" w14:textId="6AE87DA8" w:rsidR="00512815" w:rsidRPr="00EF48E5" w:rsidRDefault="00512815" w:rsidP="009353DF">
      <w:pPr>
        <w:pStyle w:val="Title"/>
        <w:numPr>
          <w:ilvl w:val="0"/>
          <w:numId w:val="32"/>
        </w:numPr>
        <w:tabs>
          <w:tab w:val="left" w:pos="993"/>
          <w:tab w:val="left" w:pos="1260"/>
          <w:tab w:val="left" w:pos="1620"/>
          <w:tab w:val="left" w:pos="1800"/>
        </w:tabs>
        <w:jc w:val="left"/>
        <w:rPr>
          <w:rFonts w:asciiTheme="minorHAnsi" w:hAnsiTheme="minorHAnsi" w:cstheme="minorHAnsi"/>
          <w:b w:val="0"/>
          <w:sz w:val="22"/>
          <w:szCs w:val="22"/>
          <w:lang w:val="es-419"/>
        </w:rPr>
      </w:pPr>
      <w:r w:rsidRPr="00EF48E5">
        <w:rPr>
          <w:rFonts w:asciiTheme="minorHAnsi" w:hAnsiTheme="minorHAnsi" w:cstheme="minorHAnsi"/>
          <w:bCs/>
          <w:sz w:val="22"/>
          <w:szCs w:val="22"/>
          <w:u w:val="single"/>
          <w:lang w:val="es-419"/>
        </w:rPr>
        <w:t>Satisfacción</w:t>
      </w:r>
      <w:r w:rsidR="00EA4CD7">
        <w:rPr>
          <w:rFonts w:asciiTheme="minorHAnsi" w:hAnsiTheme="minorHAnsi" w:cstheme="minorHAnsi"/>
          <w:bCs/>
          <w:sz w:val="22"/>
          <w:szCs w:val="22"/>
          <w:u w:val="single"/>
          <w:lang w:val="es-419"/>
        </w:rPr>
        <w:t>:</w:t>
      </w:r>
      <w:r w:rsidRPr="00EF48E5">
        <w:rPr>
          <w:rFonts w:asciiTheme="minorHAnsi" w:hAnsiTheme="minorHAnsi" w:cstheme="minorHAnsi"/>
          <w:bCs/>
          <w:i/>
          <w:iCs/>
          <w:sz w:val="22"/>
          <w:szCs w:val="22"/>
          <w:lang w:val="es-419"/>
        </w:rPr>
        <w:t xml:space="preserve"> </w:t>
      </w:r>
      <w:r w:rsidRPr="00EF48E5">
        <w:rPr>
          <w:rFonts w:asciiTheme="minorHAnsi" w:hAnsiTheme="minorHAnsi" w:cstheme="minorHAnsi"/>
          <w:b w:val="0"/>
          <w:sz w:val="22"/>
          <w:szCs w:val="22"/>
          <w:lang w:val="es-419"/>
        </w:rPr>
        <w:t>Si el denunciante no está satisfecho con la respuesta de CANARI, puede ser llevado al segundo nivel de reparación. En todas las etapas, se agregan documentos al archivo de quejas.</w:t>
      </w:r>
    </w:p>
    <w:p w14:paraId="06F6300D" w14:textId="77777777" w:rsidR="006C496E" w:rsidRPr="00EF48E5" w:rsidRDefault="006C496E" w:rsidP="006C496E">
      <w:pPr>
        <w:spacing w:after="0"/>
        <w:jc w:val="both"/>
        <w:rPr>
          <w:lang w:val="es-419"/>
        </w:rPr>
      </w:pPr>
    </w:p>
    <w:p w14:paraId="02713633" w14:textId="6AF42A2C" w:rsidR="006C496E" w:rsidRPr="00EF48E5" w:rsidRDefault="006C496E" w:rsidP="006C496E">
      <w:pPr>
        <w:jc w:val="both"/>
        <w:rPr>
          <w:b/>
          <w:bCs/>
          <w:lang w:val="es-419"/>
        </w:rPr>
      </w:pPr>
      <w:r w:rsidRPr="00EF48E5">
        <w:rPr>
          <w:b/>
          <w:bCs/>
          <w:lang w:val="es-419"/>
        </w:rPr>
        <w:t>NB: El denunciante puede solicitar que el problema se transfiera al segundo nivel de reparación si no cree que el administrador de RIT esté abordando adecuadamente la queja.</w:t>
      </w:r>
    </w:p>
    <w:p w14:paraId="4C38EB5D" w14:textId="2F4BC2A5" w:rsidR="006C496E" w:rsidRPr="00EF48E5" w:rsidRDefault="006C496E" w:rsidP="003D2806">
      <w:pPr>
        <w:rPr>
          <w:b/>
          <w:bCs/>
          <w:lang w:val="es-419"/>
        </w:rPr>
      </w:pPr>
      <w:bookmarkStart w:id="26" w:name="_Toc38989975"/>
      <w:bookmarkStart w:id="27" w:name="_Toc51772091"/>
      <w:bookmarkStart w:id="28" w:name="_Toc52881552"/>
      <w:r w:rsidRPr="00EF48E5">
        <w:rPr>
          <w:b/>
          <w:bCs/>
          <w:lang w:val="es-419"/>
        </w:rPr>
        <w:t xml:space="preserve">Segundo </w:t>
      </w:r>
      <w:r w:rsidR="00EA4CD7">
        <w:rPr>
          <w:b/>
          <w:bCs/>
          <w:lang w:val="es-419"/>
        </w:rPr>
        <w:t>n</w:t>
      </w:r>
      <w:r w:rsidRPr="00EF48E5">
        <w:rPr>
          <w:b/>
          <w:bCs/>
          <w:lang w:val="es-419"/>
        </w:rPr>
        <w:t xml:space="preserve">ivel de </w:t>
      </w:r>
      <w:r w:rsidR="00EA4CD7">
        <w:rPr>
          <w:b/>
          <w:bCs/>
          <w:lang w:val="es-419"/>
        </w:rPr>
        <w:t>r</w:t>
      </w:r>
      <w:r w:rsidRPr="00EF48E5">
        <w:rPr>
          <w:b/>
          <w:bCs/>
          <w:lang w:val="es-419"/>
        </w:rPr>
        <w:t>eparación</w:t>
      </w:r>
      <w:bookmarkEnd w:id="26"/>
      <w:bookmarkEnd w:id="27"/>
      <w:bookmarkEnd w:id="28"/>
    </w:p>
    <w:p w14:paraId="64254DED" w14:textId="7917C3F8" w:rsidR="00461DA1" w:rsidRPr="00EF48E5" w:rsidRDefault="006C496E" w:rsidP="006C496E">
      <w:pPr>
        <w:jc w:val="both"/>
        <w:rPr>
          <w:lang w:val="es-419"/>
        </w:rPr>
      </w:pPr>
      <w:r w:rsidRPr="00EF48E5">
        <w:rPr>
          <w:lang w:val="es-419"/>
        </w:rPr>
        <w:t xml:space="preserve">Si los reclamantes no están satisfechos con la forma en que se manejó su queja en el nivel uno, se les dará la oportunidad de plantearla directamente al </w:t>
      </w:r>
      <w:proofErr w:type="gramStart"/>
      <w:r w:rsidRPr="00EF48E5">
        <w:rPr>
          <w:lang w:val="es-419"/>
        </w:rPr>
        <w:t>Director</w:t>
      </w:r>
      <w:proofErr w:type="gramEnd"/>
      <w:r w:rsidRPr="00EF48E5">
        <w:rPr>
          <w:lang w:val="es-419"/>
        </w:rPr>
        <w:t xml:space="preserve"> de Subvenciones del CEPF para el </w:t>
      </w:r>
      <w:proofErr w:type="spellStart"/>
      <w:r w:rsidRPr="00EF48E5">
        <w:rPr>
          <w:lang w:val="es-419"/>
        </w:rPr>
        <w:t>Hotspot</w:t>
      </w:r>
      <w:proofErr w:type="spellEnd"/>
      <w:r w:rsidRPr="00EF48E5">
        <w:rPr>
          <w:lang w:val="es-419"/>
        </w:rPr>
        <w:t xml:space="preserve"> de Biodiversidad de las Islas del Caribe, a quien se puede contactar de la siguiente manera:</w:t>
      </w:r>
    </w:p>
    <w:tbl>
      <w:tblPr>
        <w:tblStyle w:val="TableGrid1"/>
        <w:tblW w:w="0" w:type="auto"/>
        <w:tblLayout w:type="fixed"/>
        <w:tblLook w:val="04A0" w:firstRow="1" w:lastRow="0" w:firstColumn="1" w:lastColumn="0" w:noHBand="0" w:noVBand="1"/>
      </w:tblPr>
      <w:tblGrid>
        <w:gridCol w:w="1705"/>
        <w:gridCol w:w="6840"/>
      </w:tblGrid>
      <w:tr w:rsidR="00461DA1" w:rsidRPr="00EF48E5" w14:paraId="384DBB39" w14:textId="77777777" w:rsidTr="001B362D">
        <w:trPr>
          <w:tblHeader/>
        </w:trPr>
        <w:tc>
          <w:tcPr>
            <w:tcW w:w="1705" w:type="dxa"/>
            <w:shd w:val="clear" w:color="auto" w:fill="DEEAF6" w:themeFill="accent5" w:themeFillTint="33"/>
          </w:tcPr>
          <w:p w14:paraId="4327E8A0" w14:textId="77777777" w:rsidR="00461DA1" w:rsidRPr="00EF48E5" w:rsidRDefault="00461DA1" w:rsidP="001B362D">
            <w:pPr>
              <w:keepNext/>
              <w:spacing w:line="259" w:lineRule="auto"/>
              <w:rPr>
                <w:rFonts w:cstheme="minorHAnsi"/>
                <w:b/>
                <w:bCs/>
                <w:lang w:val="es-419"/>
              </w:rPr>
            </w:pPr>
            <w:r w:rsidRPr="00EF48E5">
              <w:rPr>
                <w:rFonts w:cstheme="minorHAnsi"/>
                <w:b/>
                <w:bCs/>
                <w:lang w:val="es-419"/>
              </w:rPr>
              <w:t>Contacto</w:t>
            </w:r>
          </w:p>
        </w:tc>
        <w:tc>
          <w:tcPr>
            <w:tcW w:w="6840" w:type="dxa"/>
            <w:shd w:val="clear" w:color="auto" w:fill="DEEAF6" w:themeFill="accent5" w:themeFillTint="33"/>
          </w:tcPr>
          <w:p w14:paraId="6D142148" w14:textId="77777777" w:rsidR="00461DA1" w:rsidRPr="00EF48E5" w:rsidRDefault="00461DA1" w:rsidP="001B362D">
            <w:pPr>
              <w:keepNext/>
              <w:spacing w:line="259" w:lineRule="auto"/>
              <w:rPr>
                <w:rFonts w:cstheme="minorHAnsi"/>
                <w:b/>
                <w:bCs/>
                <w:lang w:val="es-419"/>
              </w:rPr>
            </w:pPr>
          </w:p>
        </w:tc>
      </w:tr>
      <w:tr w:rsidR="00461DA1" w:rsidRPr="00EF48E5" w14:paraId="2576EA31" w14:textId="77777777" w:rsidTr="001B362D">
        <w:tc>
          <w:tcPr>
            <w:tcW w:w="1705" w:type="dxa"/>
          </w:tcPr>
          <w:p w14:paraId="6E0E1B3B" w14:textId="77777777" w:rsidR="00461DA1" w:rsidRPr="00EF48E5" w:rsidRDefault="00461DA1" w:rsidP="001B362D">
            <w:pPr>
              <w:keepNext/>
              <w:spacing w:line="259" w:lineRule="auto"/>
              <w:rPr>
                <w:rFonts w:cstheme="minorHAnsi"/>
                <w:lang w:val="es-419"/>
              </w:rPr>
            </w:pPr>
            <w:r w:rsidRPr="00EF48E5">
              <w:rPr>
                <w:rFonts w:cstheme="minorHAnsi"/>
                <w:lang w:val="es-419"/>
              </w:rPr>
              <w:t>Título</w:t>
            </w:r>
          </w:p>
        </w:tc>
        <w:tc>
          <w:tcPr>
            <w:tcW w:w="6840" w:type="dxa"/>
          </w:tcPr>
          <w:p w14:paraId="2E3795B4" w14:textId="2416A9A2" w:rsidR="00461DA1" w:rsidRPr="00EF48E5" w:rsidRDefault="00461DA1" w:rsidP="001B362D">
            <w:pPr>
              <w:keepNext/>
              <w:spacing w:line="259" w:lineRule="auto"/>
              <w:rPr>
                <w:rFonts w:cstheme="minorHAnsi"/>
                <w:lang w:val="es-419"/>
              </w:rPr>
            </w:pPr>
            <w:r w:rsidRPr="00EF48E5">
              <w:rPr>
                <w:rFonts w:cstheme="minorHAnsi"/>
                <w:lang w:val="es-419"/>
              </w:rPr>
              <w:t xml:space="preserve">Director de Subvenciones para el </w:t>
            </w:r>
            <w:proofErr w:type="spellStart"/>
            <w:r w:rsidRPr="00EF48E5">
              <w:rPr>
                <w:rFonts w:cstheme="minorHAnsi"/>
                <w:lang w:val="es-419"/>
              </w:rPr>
              <w:t>Hotspot</w:t>
            </w:r>
            <w:proofErr w:type="spellEnd"/>
            <w:r w:rsidRPr="00EF48E5">
              <w:rPr>
                <w:rFonts w:cstheme="minorHAnsi"/>
                <w:lang w:val="es-419"/>
              </w:rPr>
              <w:t xml:space="preserve"> de Biodiversidad de las Islas del Caribe</w:t>
            </w:r>
          </w:p>
        </w:tc>
      </w:tr>
      <w:tr w:rsidR="00461DA1" w:rsidRPr="00EF48E5" w14:paraId="56FD1D95" w14:textId="77777777" w:rsidTr="001B362D">
        <w:tc>
          <w:tcPr>
            <w:tcW w:w="1705" w:type="dxa"/>
          </w:tcPr>
          <w:p w14:paraId="5E031E6F" w14:textId="77777777" w:rsidR="00461DA1" w:rsidRPr="00EF48E5" w:rsidRDefault="00461DA1" w:rsidP="001B362D">
            <w:pPr>
              <w:spacing w:line="259" w:lineRule="auto"/>
              <w:rPr>
                <w:rFonts w:cstheme="minorHAnsi"/>
                <w:lang w:val="es-419"/>
              </w:rPr>
            </w:pPr>
            <w:r w:rsidRPr="00EF48E5">
              <w:rPr>
                <w:rFonts w:cstheme="minorHAnsi"/>
                <w:lang w:val="es-419"/>
              </w:rPr>
              <w:t>Teléfono</w:t>
            </w:r>
          </w:p>
        </w:tc>
        <w:tc>
          <w:tcPr>
            <w:tcW w:w="6840" w:type="dxa"/>
          </w:tcPr>
          <w:p w14:paraId="38B370DA" w14:textId="339A8B61" w:rsidR="00461DA1" w:rsidRPr="00EF48E5" w:rsidRDefault="00461DA1" w:rsidP="001B362D">
            <w:pPr>
              <w:spacing w:line="259" w:lineRule="auto"/>
              <w:rPr>
                <w:rFonts w:cstheme="minorHAnsi"/>
                <w:lang w:val="es-419"/>
              </w:rPr>
            </w:pPr>
            <w:r w:rsidRPr="00EF48E5">
              <w:rPr>
                <w:rFonts w:cstheme="minorHAnsi"/>
                <w:lang w:val="es-419"/>
              </w:rPr>
              <w:t>+1-703-341-2400</w:t>
            </w:r>
          </w:p>
        </w:tc>
      </w:tr>
      <w:tr w:rsidR="00461DA1" w:rsidRPr="00EF48E5" w14:paraId="74AB3D4F" w14:textId="77777777" w:rsidTr="001B362D">
        <w:tc>
          <w:tcPr>
            <w:tcW w:w="1705" w:type="dxa"/>
          </w:tcPr>
          <w:p w14:paraId="4764B46C" w14:textId="77777777" w:rsidR="00461DA1" w:rsidRPr="00EF48E5" w:rsidRDefault="00461DA1" w:rsidP="001B362D">
            <w:pPr>
              <w:spacing w:line="259" w:lineRule="auto"/>
              <w:rPr>
                <w:rFonts w:cstheme="minorHAnsi"/>
                <w:lang w:val="es-419"/>
              </w:rPr>
            </w:pPr>
            <w:r w:rsidRPr="00EF48E5">
              <w:rPr>
                <w:rFonts w:cstheme="minorHAnsi"/>
                <w:lang w:val="es-419"/>
              </w:rPr>
              <w:t>Dirección de correo electrónico</w:t>
            </w:r>
          </w:p>
        </w:tc>
        <w:tc>
          <w:tcPr>
            <w:tcW w:w="6840" w:type="dxa"/>
          </w:tcPr>
          <w:p w14:paraId="7D6A5E29" w14:textId="67135A4A" w:rsidR="00461DA1" w:rsidRPr="00EF48E5" w:rsidRDefault="00D462A8" w:rsidP="001B362D">
            <w:pPr>
              <w:spacing w:line="259" w:lineRule="auto"/>
              <w:rPr>
                <w:rFonts w:cstheme="minorHAnsi"/>
                <w:lang w:val="es-419"/>
              </w:rPr>
            </w:pPr>
            <w:hyperlink r:id="rId11" w:history="1">
              <w:r w:rsidR="00C53587" w:rsidRPr="00EF48E5">
                <w:rPr>
                  <w:rStyle w:val="Hyperlink"/>
                  <w:lang w:val="es-419"/>
                </w:rPr>
                <w:t>cepf@cepf.net</w:t>
              </w:r>
            </w:hyperlink>
            <w:r w:rsidR="00C53587" w:rsidRPr="00EF48E5">
              <w:rPr>
                <w:lang w:val="es-419"/>
              </w:rPr>
              <w:t xml:space="preserve"> </w:t>
            </w:r>
          </w:p>
        </w:tc>
      </w:tr>
      <w:tr w:rsidR="00461DA1" w:rsidRPr="00EF48E5" w14:paraId="113BDF8B" w14:textId="77777777" w:rsidTr="001B362D">
        <w:tc>
          <w:tcPr>
            <w:tcW w:w="1705" w:type="dxa"/>
          </w:tcPr>
          <w:p w14:paraId="685BE79F" w14:textId="77777777" w:rsidR="00461DA1" w:rsidRPr="00EF48E5" w:rsidRDefault="00461DA1" w:rsidP="001B362D">
            <w:pPr>
              <w:spacing w:line="259" w:lineRule="auto"/>
              <w:rPr>
                <w:rFonts w:cstheme="minorHAnsi"/>
                <w:lang w:val="es-419"/>
              </w:rPr>
            </w:pPr>
            <w:r w:rsidRPr="00EF48E5">
              <w:rPr>
                <w:rFonts w:cstheme="minorHAnsi"/>
                <w:lang w:val="es-419"/>
              </w:rPr>
              <w:t>Dirección física</w:t>
            </w:r>
          </w:p>
        </w:tc>
        <w:tc>
          <w:tcPr>
            <w:tcW w:w="6840" w:type="dxa"/>
          </w:tcPr>
          <w:p w14:paraId="28D1BC91" w14:textId="4D8BAE55" w:rsidR="00461DA1" w:rsidRPr="00EF48E5" w:rsidRDefault="00461DA1" w:rsidP="001B362D">
            <w:pPr>
              <w:spacing w:line="259" w:lineRule="auto"/>
              <w:rPr>
                <w:rFonts w:cstheme="minorHAnsi"/>
                <w:lang w:val="es-419"/>
              </w:rPr>
            </w:pPr>
            <w:r w:rsidRPr="00EF48E5">
              <w:rPr>
                <w:lang w:val="es-419"/>
              </w:rPr>
              <w:t>Fondo de A</w:t>
            </w:r>
            <w:r w:rsidR="00EA4CD7">
              <w:rPr>
                <w:lang w:val="es-419"/>
              </w:rPr>
              <w:t>lianzas para los</w:t>
            </w:r>
            <w:r w:rsidRPr="00EF48E5">
              <w:rPr>
                <w:lang w:val="es-419"/>
              </w:rPr>
              <w:t xml:space="preserve"> de Ecosistemas Críticos, 2011 Crystal Drive, Suite 600, Arlington, VA 22202</w:t>
            </w:r>
          </w:p>
        </w:tc>
      </w:tr>
    </w:tbl>
    <w:p w14:paraId="02A41EFD" w14:textId="2898713B" w:rsidR="00461DA1" w:rsidRPr="00EF48E5" w:rsidRDefault="00461DA1" w:rsidP="006C496E">
      <w:pPr>
        <w:jc w:val="both"/>
        <w:rPr>
          <w:lang w:val="es-419"/>
        </w:rPr>
      </w:pPr>
    </w:p>
    <w:p w14:paraId="7B3C9D73" w14:textId="2F3165A5" w:rsidR="00461DA1" w:rsidRPr="00EF48E5" w:rsidRDefault="00461DA1" w:rsidP="003D2806">
      <w:pPr>
        <w:rPr>
          <w:b/>
          <w:bCs/>
          <w:lang w:val="es-419"/>
        </w:rPr>
      </w:pPr>
      <w:r w:rsidRPr="00EF48E5">
        <w:rPr>
          <w:b/>
          <w:bCs/>
          <w:lang w:val="es-419"/>
        </w:rPr>
        <w:t xml:space="preserve">Tercer </w:t>
      </w:r>
      <w:r w:rsidR="00EA4CD7">
        <w:rPr>
          <w:b/>
          <w:bCs/>
          <w:lang w:val="es-419"/>
        </w:rPr>
        <w:t>n</w:t>
      </w:r>
      <w:r w:rsidRPr="00EF48E5">
        <w:rPr>
          <w:b/>
          <w:bCs/>
          <w:lang w:val="es-419"/>
        </w:rPr>
        <w:t xml:space="preserve">ivel de </w:t>
      </w:r>
      <w:r w:rsidR="00EA4CD7">
        <w:rPr>
          <w:b/>
          <w:bCs/>
          <w:lang w:val="es-419"/>
        </w:rPr>
        <w:t>r</w:t>
      </w:r>
      <w:r w:rsidRPr="00EF48E5">
        <w:rPr>
          <w:b/>
          <w:bCs/>
          <w:lang w:val="es-419"/>
        </w:rPr>
        <w:t>eparación</w:t>
      </w:r>
    </w:p>
    <w:p w14:paraId="3EAA2867" w14:textId="1FC5F90E" w:rsidR="006C496E" w:rsidRPr="00EF48E5" w:rsidRDefault="00461DA1" w:rsidP="006C496E">
      <w:pPr>
        <w:jc w:val="both"/>
        <w:rPr>
          <w:lang w:val="es-419"/>
        </w:rPr>
      </w:pPr>
      <w:r w:rsidRPr="00EF48E5">
        <w:rPr>
          <w:lang w:val="es-419"/>
        </w:rPr>
        <w:t xml:space="preserve">Si los reclamantes no están satisfechos con la forma en que se manejó su queja en el nivel dos, pueden comunicarse con el </w:t>
      </w:r>
      <w:proofErr w:type="gramStart"/>
      <w:r w:rsidRPr="00EF48E5">
        <w:rPr>
          <w:lang w:val="es-419"/>
        </w:rPr>
        <w:t>Director Ejecutivo</w:t>
      </w:r>
      <w:proofErr w:type="gramEnd"/>
      <w:r w:rsidRPr="00EF48E5">
        <w:rPr>
          <w:lang w:val="es-419"/>
        </w:rPr>
        <w:t xml:space="preserve"> de CEPF a través de la Línea Directa de Ética de CI (teléfono: +1-866-294-8674 / portal web: </w:t>
      </w:r>
      <w:hyperlink r:id="rId12" w:history="1">
        <w:r w:rsidR="006C496E" w:rsidRPr="00EF48E5">
          <w:rPr>
            <w:rStyle w:val="Hyperlink"/>
            <w:lang w:val="es-419"/>
          </w:rPr>
          <w:t>https:// secure.ethicspoint.com/</w:t>
        </w:r>
        <w:proofErr w:type="spellStart"/>
        <w:r w:rsidR="006C496E" w:rsidRPr="00EF48E5">
          <w:rPr>
            <w:rStyle w:val="Hyperlink"/>
            <w:lang w:val="es-419"/>
          </w:rPr>
          <w:t>domain</w:t>
        </w:r>
        <w:proofErr w:type="spellEnd"/>
        <w:r w:rsidR="006C496E" w:rsidRPr="00EF48E5">
          <w:rPr>
            <w:rStyle w:val="Hyperlink"/>
            <w:lang w:val="es-419"/>
          </w:rPr>
          <w:t>/media/en/</w:t>
        </w:r>
        <w:proofErr w:type="spellStart"/>
        <w:r w:rsidR="006C496E" w:rsidRPr="00EF48E5">
          <w:rPr>
            <w:rStyle w:val="Hyperlink"/>
            <w:lang w:val="es-419"/>
          </w:rPr>
          <w:t>gui</w:t>
        </w:r>
        <w:proofErr w:type="spellEnd"/>
        <w:r w:rsidR="006C496E" w:rsidRPr="00EF48E5">
          <w:rPr>
            <w:rStyle w:val="Hyperlink"/>
            <w:lang w:val="es-419"/>
          </w:rPr>
          <w:t xml:space="preserve">/10680/index.html </w:t>
        </w:r>
      </w:hyperlink>
      <w:r w:rsidR="006C496E" w:rsidRPr="00EF48E5">
        <w:rPr>
          <w:lang w:val="es-419"/>
        </w:rPr>
        <w:t>).</w:t>
      </w:r>
    </w:p>
    <w:p w14:paraId="516BCD20" w14:textId="1EDFAC9C" w:rsidR="006C496E" w:rsidRPr="00EF48E5" w:rsidRDefault="006C496E" w:rsidP="006C496E">
      <w:pPr>
        <w:spacing w:after="0"/>
        <w:jc w:val="both"/>
        <w:rPr>
          <w:lang w:val="es-419"/>
        </w:rPr>
      </w:pPr>
      <w:r w:rsidRPr="00EF48E5">
        <w:rPr>
          <w:lang w:val="es-419"/>
        </w:rPr>
        <w:t xml:space="preserve">Si el denunciante no acepta la solución ofrecida por el </w:t>
      </w:r>
      <w:proofErr w:type="gramStart"/>
      <w:r w:rsidRPr="00EF48E5">
        <w:rPr>
          <w:lang w:val="es-419"/>
        </w:rPr>
        <w:t>Director Ejecutivo</w:t>
      </w:r>
      <w:proofErr w:type="gramEnd"/>
      <w:r w:rsidRPr="00EF48E5">
        <w:rPr>
          <w:lang w:val="es-419"/>
        </w:rPr>
        <w:t xml:space="preserve"> del CEPF, entonces la denuncia pasa al cuarto nivel. Alternativamente, el denunciante puede acceder al cuarto nivel en cualquier momento. Se espera que la queja se resuelva a este nivel dentro de los 35 días hábiles posteriores a la recepción de la queja original. Sin embargo, si ambas partes están de acuerdo en que se está logrando un progreso significativo hacia la resolución, el asunto puede mantenerse en este nivel por un máximo de 60 días hábiles.</w:t>
      </w:r>
    </w:p>
    <w:p w14:paraId="05ED9B8A" w14:textId="77777777" w:rsidR="00B07A40" w:rsidRPr="00EF48E5" w:rsidRDefault="00B07A40" w:rsidP="006C496E">
      <w:pPr>
        <w:spacing w:after="0"/>
        <w:jc w:val="both"/>
        <w:rPr>
          <w:lang w:val="es-419"/>
        </w:rPr>
      </w:pPr>
    </w:p>
    <w:p w14:paraId="2D288EB2" w14:textId="5921828C" w:rsidR="006C496E" w:rsidRPr="00EF48E5" w:rsidRDefault="006C496E" w:rsidP="003D2806">
      <w:pPr>
        <w:rPr>
          <w:b/>
          <w:bCs/>
          <w:lang w:val="es-419"/>
        </w:rPr>
      </w:pPr>
      <w:bookmarkStart w:id="29" w:name="_Toc38989977"/>
      <w:bookmarkStart w:id="30" w:name="_Toc51772092"/>
      <w:bookmarkStart w:id="31" w:name="_Toc52881553"/>
      <w:r w:rsidRPr="00EF48E5">
        <w:rPr>
          <w:b/>
          <w:bCs/>
          <w:lang w:val="es-419"/>
        </w:rPr>
        <w:t xml:space="preserve">Servicio de </w:t>
      </w:r>
      <w:r w:rsidR="00EA4CD7">
        <w:rPr>
          <w:b/>
          <w:bCs/>
          <w:lang w:val="es-419"/>
        </w:rPr>
        <w:t>r</w:t>
      </w:r>
      <w:r w:rsidRPr="00EF48E5">
        <w:rPr>
          <w:b/>
          <w:bCs/>
          <w:lang w:val="es-419"/>
        </w:rPr>
        <w:t xml:space="preserve">eparación de </w:t>
      </w:r>
      <w:r w:rsidR="00EA4CD7">
        <w:rPr>
          <w:b/>
          <w:bCs/>
          <w:lang w:val="es-419"/>
        </w:rPr>
        <w:t>q</w:t>
      </w:r>
      <w:r w:rsidRPr="00EF48E5">
        <w:rPr>
          <w:b/>
          <w:bCs/>
          <w:lang w:val="es-419"/>
        </w:rPr>
        <w:t>uejas del Banco Mundial (GRS)</w:t>
      </w:r>
      <w:bookmarkEnd w:id="29"/>
      <w:bookmarkEnd w:id="30"/>
      <w:bookmarkEnd w:id="31"/>
    </w:p>
    <w:p w14:paraId="07F6FBB0" w14:textId="496484A6" w:rsidR="006C496E" w:rsidRPr="00EF48E5" w:rsidRDefault="006C496E" w:rsidP="006C496E">
      <w:pPr>
        <w:shd w:val="clear" w:color="auto" w:fill="FFFFFF"/>
        <w:spacing w:after="0"/>
        <w:jc w:val="both"/>
        <w:rPr>
          <w:color w:val="000000" w:themeColor="text1"/>
          <w:lang w:val="es-419"/>
        </w:rPr>
      </w:pPr>
      <w:r w:rsidRPr="00EF48E5">
        <w:rPr>
          <w:lang w:val="es-419"/>
        </w:rPr>
        <w:t xml:space="preserve">El reclamante tiene la opción de acercarse al Banco Mundial si encuentra que el GRM establecido no puede resolver el problema. </w:t>
      </w:r>
      <w:r w:rsidRPr="00EF48E5">
        <w:rPr>
          <w:b/>
          <w:bCs/>
          <w:lang w:val="es-419"/>
        </w:rPr>
        <w:t xml:space="preserve">Debe tenerse en cuenta que, idealmente, solo se debe acceder a este GRS una vez que el mecanismo de quejas del proyecto se haya utilizado por primera vez sin una resolución aceptable. </w:t>
      </w:r>
      <w:r w:rsidRPr="00EF48E5">
        <w:rPr>
          <w:lang w:val="es-419"/>
        </w:rPr>
        <w:t>Los procedimientos del Banco Mundial requieren que el reclamante exprese sus quejas por escrito a la oficina del Banco Mundial en Washington DC completando el formulario del banco.</w:t>
      </w:r>
      <w:r w:rsidRPr="00EF48E5">
        <w:rPr>
          <w:color w:val="333333"/>
          <w:lang w:val="es-419"/>
        </w:rPr>
        <w:t> </w:t>
      </w:r>
      <w:hyperlink r:id="rId13" w:history="1">
        <w:r w:rsidRPr="00EF48E5">
          <w:rPr>
            <w:color w:val="39BEEA"/>
            <w:u w:val="single"/>
            <w:lang w:val="es-419"/>
          </w:rPr>
          <w:t xml:space="preserve">Formulario de queja de GRS </w:t>
        </w:r>
      </w:hyperlink>
      <w:r w:rsidRPr="00EF48E5">
        <w:rPr>
          <w:color w:val="333333"/>
          <w:lang w:val="es-419"/>
        </w:rPr>
        <w:t xml:space="preserve">que se puede encontrar en el siguiente enlace URL: </w:t>
      </w:r>
      <w:hyperlink r:id="rId14" w:anchor="5" w:history="1">
        <w:r w:rsidRPr="00EF48E5">
          <w:rPr>
            <w:rStyle w:val="Hyperlink"/>
            <w:lang w:val="es-419"/>
          </w:rPr>
          <w:t>http://www.worldbank.org/en/projects-operations/products-and-services/grievance-redress-service#5</w:t>
        </w:r>
      </w:hyperlink>
      <w:r w:rsidR="00ED622F">
        <w:rPr>
          <w:color w:val="333333"/>
          <w:lang w:val="es-419"/>
        </w:rPr>
        <w:t>.</w:t>
      </w:r>
      <w:r w:rsidRPr="00EF48E5">
        <w:rPr>
          <w:color w:val="000000" w:themeColor="text1"/>
          <w:lang w:val="es-419"/>
        </w:rPr>
        <w:t xml:space="preserve"> Los formularios completos se aceptarán por correo electrónico, fax, carta y entrega en mano al GRS en la sede del Banco Mundial en Washington o en las oficinas de país del Banco Mundial.</w:t>
      </w:r>
    </w:p>
    <w:p w14:paraId="23AAFF0D" w14:textId="59F1CD03" w:rsidR="006C496E" w:rsidRPr="00EF48E5" w:rsidRDefault="006C496E" w:rsidP="006C496E">
      <w:pPr>
        <w:spacing w:after="0"/>
        <w:jc w:val="both"/>
        <w:rPr>
          <w:lang w:val="es-419"/>
        </w:rPr>
      </w:pPr>
      <w:r w:rsidRPr="00EF48E5">
        <w:rPr>
          <w:b/>
          <w:bCs/>
          <w:color w:val="000000" w:themeColor="text1"/>
          <w:lang w:val="es-419"/>
        </w:rPr>
        <w:lastRenderedPageBreak/>
        <w:t>Correo electrónico:</w:t>
      </w:r>
      <w:r w:rsidRPr="00EF48E5">
        <w:rPr>
          <w:b/>
          <w:bCs/>
          <w:color w:val="000000" w:themeColor="text1"/>
          <w:lang w:val="es-419"/>
        </w:rPr>
        <w:tab/>
      </w:r>
      <w:r w:rsidRPr="00EF48E5">
        <w:rPr>
          <w:b/>
          <w:bCs/>
          <w:color w:val="000000" w:themeColor="text1"/>
          <w:lang w:val="es-419"/>
        </w:rPr>
        <w:tab/>
      </w:r>
      <w:hyperlink r:id="rId15" w:history="1">
        <w:r w:rsidR="00A57C10" w:rsidRPr="00A57C10">
          <w:rPr>
            <w:rStyle w:val="Hyperlink"/>
          </w:rPr>
          <w:t>grievances@worldbank.org</w:t>
        </w:r>
      </w:hyperlink>
    </w:p>
    <w:p w14:paraId="7207594E" w14:textId="77777777" w:rsidR="006C496E" w:rsidRPr="00EF48E5" w:rsidRDefault="006C496E" w:rsidP="006C496E">
      <w:pPr>
        <w:spacing w:after="0"/>
        <w:jc w:val="both"/>
        <w:rPr>
          <w:b/>
          <w:bCs/>
          <w:color w:val="000000" w:themeColor="text1"/>
          <w:lang w:val="es-419"/>
        </w:rPr>
      </w:pPr>
      <w:r w:rsidRPr="00EF48E5">
        <w:rPr>
          <w:b/>
          <w:bCs/>
          <w:color w:val="000000" w:themeColor="text1"/>
          <w:lang w:val="es-419"/>
        </w:rPr>
        <w:t xml:space="preserve">Fax: </w:t>
      </w:r>
      <w:r w:rsidRPr="00EF48E5">
        <w:rPr>
          <w:b/>
          <w:bCs/>
          <w:color w:val="000000" w:themeColor="text1"/>
          <w:lang w:val="es-419"/>
        </w:rPr>
        <w:tab/>
      </w:r>
      <w:r w:rsidRPr="00EF48E5">
        <w:rPr>
          <w:b/>
          <w:bCs/>
          <w:color w:val="000000" w:themeColor="text1"/>
          <w:lang w:val="es-419"/>
        </w:rPr>
        <w:tab/>
      </w:r>
      <w:r w:rsidRPr="00EF48E5">
        <w:rPr>
          <w:color w:val="000000" w:themeColor="text1"/>
          <w:lang w:val="es-419"/>
        </w:rPr>
        <w:t>+1-202-614-7313</w:t>
      </w:r>
    </w:p>
    <w:p w14:paraId="1EF9FF65" w14:textId="2FD4FCDD" w:rsidR="006C496E" w:rsidRPr="00EF48E5" w:rsidRDefault="006C496E" w:rsidP="006C496E">
      <w:pPr>
        <w:pStyle w:val="NoSpacing"/>
        <w:spacing w:line="259" w:lineRule="auto"/>
        <w:jc w:val="both"/>
        <w:rPr>
          <w:rFonts w:cstheme="minorHAnsi"/>
          <w:b/>
          <w:bCs/>
          <w:color w:val="000000" w:themeColor="text1"/>
          <w:sz w:val="22"/>
          <w:lang w:val="es-419"/>
        </w:rPr>
      </w:pPr>
      <w:r w:rsidRPr="00EF48E5">
        <w:rPr>
          <w:rFonts w:cstheme="minorHAnsi"/>
          <w:b/>
          <w:bCs/>
          <w:color w:val="000000" w:themeColor="text1"/>
          <w:sz w:val="22"/>
          <w:lang w:val="es-419"/>
        </w:rPr>
        <w:t xml:space="preserve">Por carta: </w:t>
      </w:r>
      <w:r w:rsidRPr="00EF48E5">
        <w:rPr>
          <w:rFonts w:cstheme="minorHAnsi"/>
          <w:b/>
          <w:bCs/>
          <w:color w:val="000000" w:themeColor="text1"/>
          <w:sz w:val="22"/>
          <w:lang w:val="es-419"/>
        </w:rPr>
        <w:tab/>
      </w:r>
      <w:r w:rsidRPr="00EF48E5">
        <w:rPr>
          <w:rFonts w:cstheme="minorHAnsi"/>
          <w:color w:val="000000" w:themeColor="text1"/>
          <w:sz w:val="22"/>
          <w:lang w:val="es-419"/>
        </w:rPr>
        <w:t>Banco Mundial</w:t>
      </w:r>
    </w:p>
    <w:p w14:paraId="77C79B7B" w14:textId="77777777" w:rsidR="006C496E" w:rsidRPr="00EF48E5" w:rsidRDefault="006C496E" w:rsidP="006C496E">
      <w:pPr>
        <w:pStyle w:val="NoSpacing"/>
        <w:spacing w:line="259" w:lineRule="auto"/>
        <w:jc w:val="both"/>
        <w:rPr>
          <w:rFonts w:cstheme="minorHAnsi"/>
          <w:color w:val="000000" w:themeColor="text1"/>
          <w:sz w:val="22"/>
          <w:lang w:val="es-419"/>
        </w:rPr>
      </w:pPr>
      <w:r w:rsidRPr="00EF48E5">
        <w:rPr>
          <w:rFonts w:cstheme="minorHAnsi"/>
          <w:b/>
          <w:bCs/>
          <w:color w:val="000000" w:themeColor="text1"/>
          <w:sz w:val="22"/>
          <w:lang w:val="es-419"/>
        </w:rPr>
        <w:t xml:space="preserve">   </w:t>
      </w:r>
      <w:r w:rsidRPr="00EF48E5">
        <w:rPr>
          <w:rFonts w:cstheme="minorHAnsi"/>
          <w:b/>
          <w:bCs/>
          <w:color w:val="000000" w:themeColor="text1"/>
          <w:sz w:val="22"/>
          <w:lang w:val="es-419"/>
        </w:rPr>
        <w:tab/>
      </w:r>
      <w:r w:rsidRPr="00EF48E5">
        <w:rPr>
          <w:rFonts w:cstheme="minorHAnsi"/>
          <w:b/>
          <w:bCs/>
          <w:color w:val="000000" w:themeColor="text1"/>
          <w:sz w:val="22"/>
          <w:lang w:val="es-419"/>
        </w:rPr>
        <w:tab/>
      </w:r>
      <w:r w:rsidRPr="00EF48E5">
        <w:rPr>
          <w:rFonts w:cstheme="minorHAnsi"/>
          <w:color w:val="000000" w:themeColor="text1"/>
          <w:sz w:val="22"/>
          <w:lang w:val="es-419"/>
        </w:rPr>
        <w:t>Servicio de Reparación de Quejas (GRS)</w:t>
      </w:r>
    </w:p>
    <w:p w14:paraId="3FA4BD10" w14:textId="77777777" w:rsidR="006C496E" w:rsidRPr="00EF48E5" w:rsidRDefault="006C496E" w:rsidP="006C496E">
      <w:pPr>
        <w:pStyle w:val="NoSpacing"/>
        <w:spacing w:line="259" w:lineRule="auto"/>
        <w:ind w:left="720" w:firstLine="720"/>
        <w:jc w:val="both"/>
        <w:rPr>
          <w:rFonts w:cstheme="minorHAnsi"/>
          <w:color w:val="000000" w:themeColor="text1"/>
          <w:sz w:val="22"/>
          <w:lang w:val="es-419"/>
        </w:rPr>
      </w:pPr>
      <w:r w:rsidRPr="00EF48E5">
        <w:rPr>
          <w:rFonts w:cstheme="minorHAnsi"/>
          <w:color w:val="000000" w:themeColor="text1"/>
          <w:sz w:val="22"/>
          <w:lang w:val="es-419"/>
        </w:rPr>
        <w:t>MSN MC 10-1018 NO,</w:t>
      </w:r>
    </w:p>
    <w:p w14:paraId="2DF5E090" w14:textId="77777777" w:rsidR="006C496E" w:rsidRPr="00EF48E5" w:rsidRDefault="006C496E" w:rsidP="006C496E">
      <w:pPr>
        <w:pStyle w:val="NoSpacing"/>
        <w:spacing w:line="259" w:lineRule="auto"/>
        <w:ind w:left="720" w:firstLine="720"/>
        <w:jc w:val="both"/>
        <w:rPr>
          <w:rFonts w:cstheme="minorHAnsi"/>
          <w:color w:val="000000" w:themeColor="text1"/>
          <w:sz w:val="22"/>
          <w:lang w:val="es-419"/>
        </w:rPr>
      </w:pPr>
      <w:r w:rsidRPr="00EF48E5">
        <w:rPr>
          <w:rFonts w:cstheme="minorHAnsi"/>
          <w:color w:val="000000" w:themeColor="text1"/>
          <w:sz w:val="22"/>
          <w:lang w:val="es-419"/>
        </w:rPr>
        <w:t>Washington, DC 20433, EE. UU.</w:t>
      </w:r>
    </w:p>
    <w:p w14:paraId="4CB4AE4E" w14:textId="77777777" w:rsidR="006C496E" w:rsidRPr="00EF48E5" w:rsidRDefault="006C496E" w:rsidP="006C496E">
      <w:pPr>
        <w:pStyle w:val="NoSpacing"/>
        <w:spacing w:line="259" w:lineRule="auto"/>
        <w:ind w:left="720" w:firstLine="720"/>
        <w:jc w:val="both"/>
        <w:rPr>
          <w:rFonts w:cstheme="minorHAnsi"/>
          <w:b/>
          <w:bCs/>
          <w:color w:val="000000" w:themeColor="text1"/>
          <w:lang w:val="es-419"/>
        </w:rPr>
      </w:pPr>
    </w:p>
    <w:p w14:paraId="4A8FD6CE" w14:textId="77777777" w:rsidR="006C496E" w:rsidRPr="00EF48E5" w:rsidRDefault="006C496E" w:rsidP="003D2806">
      <w:pPr>
        <w:rPr>
          <w:b/>
          <w:bCs/>
          <w:lang w:val="es-419"/>
        </w:rPr>
      </w:pPr>
      <w:bookmarkStart w:id="32" w:name="_Toc51772093"/>
      <w:bookmarkStart w:id="33" w:name="_Toc52881554"/>
      <w:bookmarkStart w:id="34" w:name="_Toc38989978"/>
      <w:r w:rsidRPr="00EF48E5">
        <w:rPr>
          <w:b/>
          <w:bCs/>
          <w:lang w:val="es-419"/>
        </w:rPr>
        <w:t>Abordar la violencia de género</w:t>
      </w:r>
      <w:bookmarkEnd w:id="32"/>
      <w:bookmarkEnd w:id="33"/>
      <w:r w:rsidRPr="00EF48E5">
        <w:rPr>
          <w:b/>
          <w:bCs/>
          <w:lang w:val="es-419"/>
        </w:rPr>
        <w:t xml:space="preserve"> </w:t>
      </w:r>
      <w:bookmarkEnd w:id="34"/>
    </w:p>
    <w:p w14:paraId="0B3068F7" w14:textId="0C80BD42" w:rsidR="006C496E" w:rsidRPr="00EF48E5" w:rsidRDefault="006C496E" w:rsidP="006C496E">
      <w:pPr>
        <w:jc w:val="both"/>
        <w:rPr>
          <w:lang w:val="es-419"/>
        </w:rPr>
      </w:pPr>
      <w:r w:rsidRPr="00EF48E5">
        <w:rPr>
          <w:lang w:val="es-419"/>
        </w:rPr>
        <w:t>El GRM especificará una persona responsable de tratar cualquier problema de violencia de género (</w:t>
      </w:r>
      <w:r w:rsidR="002C6730">
        <w:rPr>
          <w:lang w:val="es-419"/>
        </w:rPr>
        <w:t>VG</w:t>
      </w:r>
      <w:r w:rsidRPr="00EF48E5">
        <w:rPr>
          <w:lang w:val="es-419"/>
        </w:rPr>
        <w:t xml:space="preserve">), en caso de que surja. El proyecto mantendrá disponible una lista de proveedores de servicios de violencia basada en género. El GRM debe ayudar a </w:t>
      </w:r>
      <w:r w:rsidR="00850F7E">
        <w:rPr>
          <w:lang w:val="es-419"/>
        </w:rPr>
        <w:t>los sobrevivientes</w:t>
      </w:r>
      <w:r w:rsidR="002C6730">
        <w:rPr>
          <w:lang w:val="es-419"/>
        </w:rPr>
        <w:t xml:space="preserve"> </w:t>
      </w:r>
      <w:r w:rsidRPr="00EF48E5">
        <w:rPr>
          <w:lang w:val="es-419"/>
        </w:rPr>
        <w:t xml:space="preserve">de VG refiriéndolos a los proveedores de servicios de VG para recibir apoyo inmediatamente después de recibir una queja directamente de </w:t>
      </w:r>
      <w:r w:rsidR="00850F7E">
        <w:rPr>
          <w:lang w:val="es-419"/>
        </w:rPr>
        <w:t>un sobreviviente</w:t>
      </w:r>
      <w:r w:rsidRPr="00EF48E5">
        <w:rPr>
          <w:lang w:val="es-419"/>
        </w:rPr>
        <w:t>.</w:t>
      </w:r>
    </w:p>
    <w:p w14:paraId="5B37942F" w14:textId="14005FE5" w:rsidR="006C496E" w:rsidRPr="00EF48E5" w:rsidRDefault="006C496E" w:rsidP="006C496E">
      <w:pPr>
        <w:spacing w:after="0"/>
        <w:jc w:val="both"/>
        <w:rPr>
          <w:lang w:val="es-419"/>
        </w:rPr>
      </w:pPr>
      <w:r w:rsidRPr="00EF48E5">
        <w:rPr>
          <w:lang w:val="es-419"/>
        </w:rPr>
        <w:t>Si ocurre un incidente relacionado con la violencia de género, se informará a través del GRM, según corresponda, y se mantendrá la confidencialidad de la información d</w:t>
      </w:r>
      <w:r w:rsidR="004831F9">
        <w:rPr>
          <w:lang w:val="es-419"/>
        </w:rPr>
        <w:t>el sobreviviente</w:t>
      </w:r>
      <w:r w:rsidRPr="00EF48E5">
        <w:rPr>
          <w:lang w:val="es-419"/>
        </w:rPr>
        <w:t>. Específicamente, el GRM solo registrará la siguiente información relacionada con la denuncia de VG:</w:t>
      </w:r>
    </w:p>
    <w:p w14:paraId="7E3CC1B6" w14:textId="77777777" w:rsidR="006C496E" w:rsidRPr="00EF48E5" w:rsidRDefault="006C496E" w:rsidP="006C496E">
      <w:pPr>
        <w:spacing w:after="0"/>
        <w:jc w:val="both"/>
        <w:rPr>
          <w:lang w:val="es-419"/>
        </w:rPr>
      </w:pPr>
      <w:r w:rsidRPr="00EF48E5">
        <w:rPr>
          <w:lang w:val="es-419"/>
        </w:rPr>
        <w:t xml:space="preserve"> </w:t>
      </w:r>
    </w:p>
    <w:p w14:paraId="7BE05FDF" w14:textId="77777777" w:rsidR="006C496E" w:rsidRPr="00EF48E5" w:rsidRDefault="006C496E" w:rsidP="006C496E">
      <w:pPr>
        <w:pStyle w:val="ListParagraph"/>
        <w:numPr>
          <w:ilvl w:val="0"/>
          <w:numId w:val="22"/>
        </w:numPr>
        <w:spacing w:after="0" w:line="259" w:lineRule="auto"/>
        <w:jc w:val="both"/>
        <w:rPr>
          <w:lang w:val="es-419"/>
        </w:rPr>
      </w:pPr>
      <w:r w:rsidRPr="00EF48E5">
        <w:rPr>
          <w:lang w:val="es-419"/>
        </w:rPr>
        <w:t>La naturaleza de la denuncia (lo que dice el denunciante con sus propias palabras sin cuestionamiento directo).</w:t>
      </w:r>
    </w:p>
    <w:p w14:paraId="69CAD87C" w14:textId="77777777" w:rsidR="006C496E" w:rsidRPr="00EF48E5" w:rsidRDefault="006C496E" w:rsidP="006C496E">
      <w:pPr>
        <w:pStyle w:val="ListParagraph"/>
        <w:numPr>
          <w:ilvl w:val="0"/>
          <w:numId w:val="22"/>
        </w:numPr>
        <w:spacing w:after="0" w:line="259" w:lineRule="auto"/>
        <w:jc w:val="both"/>
        <w:rPr>
          <w:lang w:val="es-419"/>
        </w:rPr>
      </w:pPr>
      <w:r w:rsidRPr="00EF48E5">
        <w:rPr>
          <w:lang w:val="es-419"/>
        </w:rPr>
        <w:t>Si, a su leal saber y entender, el perpetrador estuvo asociado con el proyecto.</w:t>
      </w:r>
    </w:p>
    <w:p w14:paraId="25DFEB3C" w14:textId="40AA67DD" w:rsidR="006C496E" w:rsidRPr="00EF48E5" w:rsidRDefault="006C496E" w:rsidP="006C496E">
      <w:pPr>
        <w:pStyle w:val="ListParagraph"/>
        <w:numPr>
          <w:ilvl w:val="0"/>
          <w:numId w:val="22"/>
        </w:numPr>
        <w:spacing w:after="0" w:line="259" w:lineRule="auto"/>
        <w:jc w:val="both"/>
        <w:rPr>
          <w:lang w:val="es-419"/>
        </w:rPr>
      </w:pPr>
      <w:r w:rsidRPr="00EF48E5">
        <w:rPr>
          <w:lang w:val="es-419"/>
        </w:rPr>
        <w:t>Si es posible, la edad y el sexo</w:t>
      </w:r>
      <w:r w:rsidR="004831F9">
        <w:rPr>
          <w:lang w:val="es-419"/>
        </w:rPr>
        <w:t xml:space="preserve"> del sobreviviente</w:t>
      </w:r>
      <w:r w:rsidRPr="00EF48E5">
        <w:rPr>
          <w:lang w:val="es-419"/>
        </w:rPr>
        <w:t>.</w:t>
      </w:r>
    </w:p>
    <w:p w14:paraId="1A501CA3" w14:textId="77777777" w:rsidR="006C496E" w:rsidRPr="00EF48E5" w:rsidRDefault="006C496E" w:rsidP="006C496E">
      <w:pPr>
        <w:spacing w:after="0"/>
        <w:jc w:val="both"/>
        <w:rPr>
          <w:lang w:val="es-419"/>
        </w:rPr>
      </w:pPr>
      <w:r w:rsidRPr="00EF48E5">
        <w:rPr>
          <w:lang w:val="es-419"/>
        </w:rPr>
        <w:t xml:space="preserve"> </w:t>
      </w:r>
    </w:p>
    <w:p w14:paraId="0E6769C4" w14:textId="3956A0B6" w:rsidR="006C496E" w:rsidRPr="00EF48E5" w:rsidRDefault="006C496E" w:rsidP="006C496E">
      <w:pPr>
        <w:spacing w:after="0"/>
        <w:jc w:val="both"/>
        <w:rPr>
          <w:lang w:val="es-419"/>
        </w:rPr>
      </w:pPr>
      <w:r w:rsidRPr="00EF48E5">
        <w:rPr>
          <w:lang w:val="es-419"/>
        </w:rPr>
        <w:t xml:space="preserve">Todos los casos de violencia de género presentados a través del GRM se documentarán, pero permanecerán cerrados/sellados para mantener la confidencialidad </w:t>
      </w:r>
      <w:r w:rsidR="004831F9">
        <w:rPr>
          <w:lang w:val="es-419"/>
        </w:rPr>
        <w:t>del sobreviviente</w:t>
      </w:r>
      <w:r w:rsidRPr="00EF48E5">
        <w:rPr>
          <w:lang w:val="es-419"/>
        </w:rPr>
        <w:t>. Aquí, el GRM servirá principalmente para:</w:t>
      </w:r>
    </w:p>
    <w:p w14:paraId="305141CC" w14:textId="77777777" w:rsidR="006C496E" w:rsidRPr="00EF48E5" w:rsidRDefault="006C496E" w:rsidP="006C496E">
      <w:pPr>
        <w:spacing w:after="0"/>
        <w:jc w:val="both"/>
        <w:rPr>
          <w:lang w:val="es-419"/>
        </w:rPr>
      </w:pPr>
    </w:p>
    <w:p w14:paraId="3855EE6D" w14:textId="77FAE6D3" w:rsidR="006C496E" w:rsidRPr="00EF48E5" w:rsidRDefault="006C496E" w:rsidP="006C496E">
      <w:pPr>
        <w:pStyle w:val="ListParagraph"/>
        <w:numPr>
          <w:ilvl w:val="0"/>
          <w:numId w:val="23"/>
        </w:numPr>
        <w:spacing w:after="0" w:line="259" w:lineRule="auto"/>
        <w:jc w:val="both"/>
        <w:rPr>
          <w:b/>
          <w:bCs/>
          <w:u w:val="single"/>
          <w:lang w:val="es-419"/>
        </w:rPr>
      </w:pPr>
      <w:r w:rsidRPr="00EF48E5">
        <w:rPr>
          <w:lang w:val="es-419"/>
        </w:rPr>
        <w:t>Remit</w:t>
      </w:r>
      <w:r w:rsidR="002C6730">
        <w:rPr>
          <w:lang w:val="es-419"/>
        </w:rPr>
        <w:t>ir</w:t>
      </w:r>
      <w:r w:rsidRPr="00EF48E5">
        <w:rPr>
          <w:lang w:val="es-419"/>
        </w:rPr>
        <w:t xml:space="preserve"> a los denunciantes al proveedor de servicios de violencia basada en género.</w:t>
      </w:r>
    </w:p>
    <w:p w14:paraId="53A891BB" w14:textId="77777777" w:rsidR="006C496E" w:rsidRPr="00EF48E5" w:rsidRDefault="006C496E" w:rsidP="006C496E">
      <w:pPr>
        <w:pStyle w:val="ListParagraph"/>
        <w:numPr>
          <w:ilvl w:val="0"/>
          <w:numId w:val="23"/>
        </w:numPr>
        <w:spacing w:after="0" w:line="259" w:lineRule="auto"/>
        <w:jc w:val="both"/>
        <w:rPr>
          <w:b/>
          <w:bCs/>
          <w:u w:val="single"/>
          <w:lang w:val="es-419"/>
        </w:rPr>
      </w:pPr>
      <w:r w:rsidRPr="00EF48E5">
        <w:rPr>
          <w:lang w:val="es-419"/>
        </w:rPr>
        <w:t>Registrar la resolución de la queja.</w:t>
      </w:r>
    </w:p>
    <w:p w14:paraId="04EB8D60" w14:textId="77777777" w:rsidR="006C496E" w:rsidRPr="00EF48E5" w:rsidRDefault="006C496E" w:rsidP="006C496E">
      <w:pPr>
        <w:spacing w:after="0"/>
        <w:jc w:val="both"/>
        <w:rPr>
          <w:lang w:val="es-419"/>
        </w:rPr>
      </w:pPr>
    </w:p>
    <w:p w14:paraId="5B9B5891" w14:textId="2218AE12" w:rsidR="006C496E" w:rsidRPr="00EF48E5" w:rsidRDefault="006C496E" w:rsidP="006C496E">
      <w:pPr>
        <w:jc w:val="both"/>
        <w:rPr>
          <w:lang w:val="es-419"/>
        </w:rPr>
      </w:pPr>
      <w:r w:rsidRPr="00EF48E5">
        <w:rPr>
          <w:lang w:val="es-419"/>
        </w:rPr>
        <w:t xml:space="preserve">El GRM también notificará inmediatamente tanto a la Agencia de Implementación como al Banco Mundial de cualquier queja de VG </w:t>
      </w:r>
      <w:r w:rsidRPr="00EF48E5">
        <w:rPr>
          <w:b/>
          <w:bCs/>
          <w:lang w:val="es-419"/>
        </w:rPr>
        <w:t xml:space="preserve">CON EL CONSENTIMIENTO </w:t>
      </w:r>
      <w:r w:rsidR="00850F7E" w:rsidRPr="00850F7E">
        <w:rPr>
          <w:b/>
          <w:bCs/>
          <w:caps/>
          <w:lang w:val="es-419"/>
        </w:rPr>
        <w:t>Del sobreviviente</w:t>
      </w:r>
      <w:r w:rsidR="00ED622F" w:rsidRPr="002C6730">
        <w:rPr>
          <w:b/>
          <w:bCs/>
          <w:caps/>
          <w:lang w:val="es-419"/>
        </w:rPr>
        <w:t>.</w:t>
      </w:r>
    </w:p>
    <w:p w14:paraId="71A19175" w14:textId="09638E56" w:rsidR="006C496E" w:rsidRPr="00EF48E5" w:rsidRDefault="006C496E" w:rsidP="006C496E">
      <w:pPr>
        <w:spacing w:before="160"/>
        <w:jc w:val="both"/>
        <w:rPr>
          <w:rFonts w:ascii="Calibri" w:eastAsia="Calibri" w:hAnsi="Calibri" w:cs="Calibri"/>
          <w:color w:val="000000" w:themeColor="text1"/>
          <w:lang w:val="es-419"/>
        </w:rPr>
      </w:pPr>
      <w:r w:rsidRPr="00EF48E5">
        <w:rPr>
          <w:rFonts w:ascii="Calibri" w:eastAsia="Calibri" w:hAnsi="Calibri" w:cs="Calibri"/>
          <w:color w:val="000000" w:themeColor="text1"/>
          <w:lang w:val="es-419"/>
        </w:rPr>
        <w:t xml:space="preserve">Además del canal principal de GRM del proyecto, </w:t>
      </w:r>
      <w:r w:rsidR="00850F7E">
        <w:rPr>
          <w:rFonts w:ascii="Calibri" w:eastAsia="Calibri" w:hAnsi="Calibri" w:cs="Calibri"/>
          <w:color w:val="000000" w:themeColor="text1"/>
          <w:lang w:val="es-419"/>
        </w:rPr>
        <w:t>el sobreviviente</w:t>
      </w:r>
      <w:r w:rsidRPr="00EF48E5">
        <w:rPr>
          <w:rFonts w:ascii="Calibri" w:eastAsia="Calibri" w:hAnsi="Calibri" w:cs="Calibri"/>
          <w:color w:val="000000" w:themeColor="text1"/>
          <w:lang w:val="es-419"/>
        </w:rPr>
        <w:t xml:space="preserve"> de VG también puede acercarse directamente al Banco Mundial, especialmente si el presunto perpetrador termina siendo alguien directamente responsable de administrar el GRM. La persona afectada puede acercarse al líder del equipo de trabajo (TTL), al director de país del Caribe del Banco Mundial o a cualquier otro miembro del personal del Banco Mundial dentro del equipo de trabajo con quien se sienta cómodo compartiendo.</w:t>
      </w:r>
    </w:p>
    <w:p w14:paraId="5BC23DF6" w14:textId="77777777" w:rsidR="00FF48FE" w:rsidRPr="00EF48E5" w:rsidRDefault="00FF48FE">
      <w:pPr>
        <w:spacing w:line="259" w:lineRule="auto"/>
        <w:rPr>
          <w:rFonts w:asciiTheme="majorHAnsi" w:eastAsiaTheme="majorEastAsia" w:hAnsiTheme="majorHAnsi" w:cstheme="majorBidi"/>
          <w:color w:val="2F5496" w:themeColor="accent1" w:themeShade="BF"/>
          <w:sz w:val="32"/>
          <w:szCs w:val="32"/>
          <w:lang w:val="es-419"/>
        </w:rPr>
      </w:pPr>
      <w:bookmarkStart w:id="35" w:name="_Toc52881555"/>
      <w:r w:rsidRPr="00EF48E5">
        <w:rPr>
          <w:lang w:val="es-419"/>
        </w:rPr>
        <w:br w:type="page"/>
      </w:r>
    </w:p>
    <w:p w14:paraId="50E797D4" w14:textId="7FD1757D" w:rsidR="00631842" w:rsidRPr="00EF48E5" w:rsidRDefault="00631842" w:rsidP="00631842">
      <w:pPr>
        <w:pStyle w:val="Heading1"/>
        <w:spacing w:after="160"/>
        <w:rPr>
          <w:lang w:val="es-419"/>
        </w:rPr>
      </w:pPr>
      <w:bookmarkStart w:id="36" w:name="_Toc100399003"/>
      <w:r w:rsidRPr="00EF48E5">
        <w:rPr>
          <w:lang w:val="es-419"/>
        </w:rPr>
        <w:lastRenderedPageBreak/>
        <w:t xml:space="preserve">Anexo 1: Lista de </w:t>
      </w:r>
      <w:r w:rsidR="002C6730">
        <w:rPr>
          <w:lang w:val="es-419"/>
        </w:rPr>
        <w:t>o</w:t>
      </w:r>
      <w:r w:rsidRPr="00EF48E5">
        <w:rPr>
          <w:lang w:val="es-419"/>
        </w:rPr>
        <w:t xml:space="preserve">rganizaciones </w:t>
      </w:r>
      <w:r w:rsidR="002C6730">
        <w:rPr>
          <w:lang w:val="es-419"/>
        </w:rPr>
        <w:t>c</w:t>
      </w:r>
      <w:r w:rsidRPr="00EF48E5">
        <w:rPr>
          <w:lang w:val="es-419"/>
        </w:rPr>
        <w:t xml:space="preserve">onsultadas durante la </w:t>
      </w:r>
      <w:r w:rsidR="002C6730">
        <w:rPr>
          <w:lang w:val="es-419"/>
        </w:rPr>
        <w:t>e</w:t>
      </w:r>
      <w:r w:rsidRPr="00EF48E5">
        <w:rPr>
          <w:lang w:val="es-419"/>
        </w:rPr>
        <w:t>laboración del Perfil del Ecosistema</w:t>
      </w:r>
      <w:bookmarkEnd w:id="35"/>
      <w:bookmarkEnd w:id="36"/>
    </w:p>
    <w:p w14:paraId="5FB88C23" w14:textId="77777777" w:rsidR="00631842" w:rsidRPr="00EF48E5" w:rsidRDefault="00631842" w:rsidP="00631842">
      <w:pPr>
        <w:rPr>
          <w:lang w:val="es-419"/>
        </w:rPr>
      </w:pPr>
      <w:r w:rsidRPr="00EF48E5">
        <w:rPr>
          <w:lang w:val="es-419"/>
        </w:rPr>
        <w:t>Academia de Ciencias de la República Dominicana</w:t>
      </w:r>
    </w:p>
    <w:p w14:paraId="45E4F8AD" w14:textId="77777777" w:rsidR="00631842" w:rsidRPr="00EF48E5" w:rsidRDefault="00631842" w:rsidP="00631842">
      <w:pPr>
        <w:rPr>
          <w:lang w:val="es-419"/>
        </w:rPr>
      </w:pPr>
      <w:r w:rsidRPr="00EF48E5">
        <w:rPr>
          <w:lang w:val="es-419"/>
        </w:rPr>
        <w:t>Agencia Francesa de Desarrollo</w:t>
      </w:r>
    </w:p>
    <w:p w14:paraId="7C24D624" w14:textId="77777777" w:rsidR="00631842" w:rsidRPr="00EF48E5" w:rsidRDefault="00631842" w:rsidP="00631842">
      <w:pPr>
        <w:rPr>
          <w:lang w:val="es-419"/>
        </w:rPr>
      </w:pPr>
      <w:proofErr w:type="spellStart"/>
      <w:r w:rsidRPr="00EF48E5">
        <w:rPr>
          <w:lang w:val="es-419"/>
        </w:rPr>
        <w:t>Agence</w:t>
      </w:r>
      <w:proofErr w:type="spellEnd"/>
      <w:r w:rsidRPr="00EF48E5">
        <w:rPr>
          <w:lang w:val="es-419"/>
        </w:rPr>
        <w:t xml:space="preserve"> </w:t>
      </w:r>
      <w:proofErr w:type="spellStart"/>
      <w:r w:rsidRPr="00EF48E5">
        <w:rPr>
          <w:lang w:val="es-419"/>
        </w:rPr>
        <w:t>Nationale</w:t>
      </w:r>
      <w:proofErr w:type="spellEnd"/>
      <w:r w:rsidRPr="00EF48E5">
        <w:rPr>
          <w:lang w:val="es-419"/>
        </w:rPr>
        <w:t xml:space="preserve"> des Aires </w:t>
      </w:r>
      <w:proofErr w:type="spellStart"/>
      <w:r w:rsidRPr="00EF48E5">
        <w:rPr>
          <w:lang w:val="es-419"/>
        </w:rPr>
        <w:t>Protégées</w:t>
      </w:r>
      <w:proofErr w:type="spellEnd"/>
      <w:r w:rsidRPr="00EF48E5">
        <w:rPr>
          <w:lang w:val="es-419"/>
        </w:rPr>
        <w:t xml:space="preserve"> </w:t>
      </w:r>
      <w:proofErr w:type="spellStart"/>
      <w:r w:rsidRPr="00EF48E5">
        <w:rPr>
          <w:lang w:val="es-419"/>
        </w:rPr>
        <w:t>d'Haïti</w:t>
      </w:r>
      <w:proofErr w:type="spellEnd"/>
      <w:r w:rsidRPr="00EF48E5">
        <w:rPr>
          <w:lang w:val="es-419"/>
        </w:rPr>
        <w:t xml:space="preserve"> (ANAP)</w:t>
      </w:r>
    </w:p>
    <w:p w14:paraId="2C38265B" w14:textId="77777777" w:rsidR="00631842" w:rsidRPr="00EF48E5" w:rsidRDefault="00631842" w:rsidP="00631842">
      <w:pPr>
        <w:rPr>
          <w:lang w:val="es-419"/>
        </w:rPr>
      </w:pPr>
      <w:r w:rsidRPr="00EF48E5">
        <w:rPr>
          <w:lang w:val="es-419"/>
        </w:rPr>
        <w:t>Agencia Española de Cooperación Internacional para el Desarrollo (AECID)</w:t>
      </w:r>
    </w:p>
    <w:p w14:paraId="01242D88" w14:textId="77777777" w:rsidR="00631842" w:rsidRPr="00EF48E5" w:rsidRDefault="00631842" w:rsidP="00631842">
      <w:pPr>
        <w:rPr>
          <w:lang w:val="es-419"/>
        </w:rPr>
      </w:pPr>
      <w:r w:rsidRPr="000B4607">
        <w:rPr>
          <w:lang w:val="es-419"/>
        </w:rPr>
        <w:t>Alianza ONG</w:t>
      </w:r>
    </w:p>
    <w:p w14:paraId="63F35DEC" w14:textId="77777777" w:rsidR="00631842" w:rsidRPr="00EF48E5" w:rsidRDefault="00631842" w:rsidP="00631842">
      <w:pPr>
        <w:rPr>
          <w:lang w:val="es-419"/>
        </w:rPr>
      </w:pPr>
      <w:r w:rsidRPr="00EF48E5">
        <w:rPr>
          <w:lang w:val="es-419"/>
        </w:rPr>
        <w:t>Fideicomiso Nacional de Bahamas</w:t>
      </w:r>
    </w:p>
    <w:p w14:paraId="0A670453" w14:textId="77777777" w:rsidR="00631842" w:rsidRPr="00EF48E5" w:rsidRDefault="00631842" w:rsidP="00631842">
      <w:pPr>
        <w:rPr>
          <w:lang w:val="es-419"/>
        </w:rPr>
      </w:pPr>
      <w:proofErr w:type="spellStart"/>
      <w:r w:rsidRPr="00EF48E5">
        <w:rPr>
          <w:lang w:val="es-419"/>
        </w:rPr>
        <w:t>Bird</w:t>
      </w:r>
      <w:proofErr w:type="spellEnd"/>
      <w:r w:rsidRPr="00EF48E5">
        <w:rPr>
          <w:lang w:val="es-419"/>
        </w:rPr>
        <w:t xml:space="preserve"> </w:t>
      </w:r>
      <w:proofErr w:type="spellStart"/>
      <w:r w:rsidRPr="00EF48E5">
        <w:rPr>
          <w:lang w:val="es-419"/>
        </w:rPr>
        <w:t>Life</w:t>
      </w:r>
      <w:proofErr w:type="spellEnd"/>
      <w:r w:rsidRPr="00EF48E5">
        <w:rPr>
          <w:lang w:val="es-419"/>
        </w:rPr>
        <w:t xml:space="preserve"> Jamaica</w:t>
      </w:r>
    </w:p>
    <w:p w14:paraId="2D1D9E13" w14:textId="77777777" w:rsidR="00631842" w:rsidRPr="00EF48E5" w:rsidRDefault="00631842" w:rsidP="00631842">
      <w:pPr>
        <w:rPr>
          <w:lang w:val="es-419"/>
        </w:rPr>
      </w:pPr>
      <w:proofErr w:type="spellStart"/>
      <w:r w:rsidRPr="00EF48E5">
        <w:rPr>
          <w:lang w:val="es-419"/>
        </w:rPr>
        <w:t>AvesCaribe</w:t>
      </w:r>
      <w:proofErr w:type="spellEnd"/>
    </w:p>
    <w:p w14:paraId="64460209" w14:textId="77777777" w:rsidR="00631842" w:rsidRPr="00EF48E5" w:rsidRDefault="00631842" w:rsidP="00631842">
      <w:pPr>
        <w:rPr>
          <w:lang w:val="es-419"/>
        </w:rPr>
      </w:pPr>
      <w:r w:rsidRPr="00EF48E5">
        <w:rPr>
          <w:lang w:val="es-419"/>
        </w:rPr>
        <w:t xml:space="preserve">Bureau de </w:t>
      </w:r>
      <w:proofErr w:type="spellStart"/>
      <w:r w:rsidRPr="00EF48E5">
        <w:rPr>
          <w:lang w:val="es-419"/>
        </w:rPr>
        <w:t>Conseil</w:t>
      </w:r>
      <w:proofErr w:type="spellEnd"/>
      <w:r w:rsidRPr="00EF48E5">
        <w:rPr>
          <w:lang w:val="es-419"/>
        </w:rPr>
        <w:t xml:space="preserve"> et Services </w:t>
      </w:r>
      <w:proofErr w:type="spellStart"/>
      <w:r w:rsidRPr="00EF48E5">
        <w:rPr>
          <w:lang w:val="es-419"/>
        </w:rPr>
        <w:t>Humanitaires</w:t>
      </w:r>
      <w:proofErr w:type="spellEnd"/>
      <w:r w:rsidRPr="00EF48E5">
        <w:rPr>
          <w:lang w:val="es-419"/>
        </w:rPr>
        <w:t xml:space="preserve"> (BUCOSEH)</w:t>
      </w:r>
    </w:p>
    <w:p w14:paraId="6CC909E1" w14:textId="77777777" w:rsidR="00631842" w:rsidRPr="00EF48E5" w:rsidRDefault="00631842" w:rsidP="00631842">
      <w:pPr>
        <w:rPr>
          <w:lang w:val="es-419"/>
        </w:rPr>
      </w:pPr>
      <w:r w:rsidRPr="00EF48E5">
        <w:rPr>
          <w:lang w:val="es-419"/>
        </w:rPr>
        <w:t>Fondo de Biodiversidad del Caribe (CBF)</w:t>
      </w:r>
    </w:p>
    <w:p w14:paraId="778CEB2E" w14:textId="77777777" w:rsidR="00631842" w:rsidRPr="00EF48E5" w:rsidRDefault="00631842" w:rsidP="00631842">
      <w:pPr>
        <w:rPr>
          <w:lang w:val="es-419"/>
        </w:rPr>
      </w:pPr>
      <w:r w:rsidRPr="00EF48E5">
        <w:rPr>
          <w:lang w:val="es-419"/>
        </w:rPr>
        <w:t>Fundación para el Manejo del Área Costera del Caribe (C-CAM)</w:t>
      </w:r>
    </w:p>
    <w:p w14:paraId="74273A05" w14:textId="77777777" w:rsidR="00631842" w:rsidRPr="00EF48E5" w:rsidRDefault="00631842" w:rsidP="00631842">
      <w:pPr>
        <w:rPr>
          <w:lang w:val="es-419"/>
        </w:rPr>
      </w:pPr>
      <w:r w:rsidRPr="00EF48E5">
        <w:rPr>
          <w:lang w:val="es-419"/>
        </w:rPr>
        <w:t>Centro de Gestión de Recursos y Estudios Ambientales (CERMES), Universidad de las Indias Occidentales - Cave Hill</w:t>
      </w:r>
    </w:p>
    <w:p w14:paraId="1FE9CAD4" w14:textId="77777777" w:rsidR="00631842" w:rsidRPr="00EF48E5" w:rsidRDefault="00631842" w:rsidP="00631842">
      <w:pPr>
        <w:rPr>
          <w:lang w:val="es-419"/>
        </w:rPr>
      </w:pPr>
      <w:r w:rsidRPr="00EF48E5">
        <w:rPr>
          <w:lang w:val="es-419"/>
        </w:rPr>
        <w:t>Centro Agronómico Tropical de Investigación y Enseñanza – sucursal República Dominicana</w:t>
      </w:r>
    </w:p>
    <w:p w14:paraId="6716E7FA" w14:textId="77777777" w:rsidR="00631842" w:rsidRPr="00EF48E5" w:rsidRDefault="00631842" w:rsidP="00631842">
      <w:pPr>
        <w:rPr>
          <w:lang w:val="es-419"/>
        </w:rPr>
      </w:pPr>
      <w:r w:rsidRPr="00EF48E5">
        <w:rPr>
          <w:lang w:val="es-419"/>
        </w:rPr>
        <w:t>Centro de Investigaciones de Biología Marina</w:t>
      </w:r>
    </w:p>
    <w:p w14:paraId="74CE4E2A" w14:textId="77777777" w:rsidR="00631842" w:rsidRPr="00EF48E5" w:rsidRDefault="00631842" w:rsidP="00631842">
      <w:pPr>
        <w:rPr>
          <w:lang w:val="es-419"/>
        </w:rPr>
      </w:pPr>
      <w:r w:rsidRPr="00EF48E5">
        <w:rPr>
          <w:lang w:val="es-419"/>
        </w:rPr>
        <w:t>Centro para el Desarrollo Agropecuario y Forestal (CEDAF)</w:t>
      </w:r>
    </w:p>
    <w:p w14:paraId="29999420" w14:textId="77777777" w:rsidR="00631842" w:rsidRPr="00EF48E5" w:rsidRDefault="00631842" w:rsidP="00631842">
      <w:pPr>
        <w:rPr>
          <w:lang w:val="es-419"/>
        </w:rPr>
      </w:pPr>
      <w:r w:rsidRPr="00EF48E5">
        <w:rPr>
          <w:lang w:val="es-419"/>
        </w:rPr>
        <w:t>Centro para la Conservación y Ecodesarrollo de la Bahía de Samaná y su Entorno (CEBSE)</w:t>
      </w:r>
    </w:p>
    <w:p w14:paraId="03D454A3" w14:textId="77777777" w:rsidR="00631842" w:rsidRPr="00EF48E5" w:rsidRDefault="00631842" w:rsidP="00631842">
      <w:pPr>
        <w:rPr>
          <w:lang w:val="es-419"/>
        </w:rPr>
      </w:pPr>
      <w:r w:rsidRPr="00EF48E5">
        <w:rPr>
          <w:lang w:val="es-419"/>
        </w:rPr>
        <w:t>Consejo Nacional para el Cambio Climático y el Mecanismo de Desarrollo Limpio</w:t>
      </w:r>
    </w:p>
    <w:p w14:paraId="03BFAFDC" w14:textId="77777777" w:rsidR="00631842" w:rsidRPr="00EF48E5" w:rsidRDefault="00631842" w:rsidP="00631842">
      <w:pPr>
        <w:rPr>
          <w:lang w:val="es-419"/>
        </w:rPr>
      </w:pPr>
      <w:r w:rsidRPr="00EF48E5">
        <w:rPr>
          <w:lang w:val="es-419"/>
        </w:rPr>
        <w:t>Consorcio Ambiental Dominicano (CAD)</w:t>
      </w:r>
    </w:p>
    <w:p w14:paraId="6BCA38B3" w14:textId="77777777" w:rsidR="00631842" w:rsidRPr="00EF48E5" w:rsidRDefault="00631842" w:rsidP="00631842">
      <w:pPr>
        <w:rPr>
          <w:lang w:val="es-419"/>
        </w:rPr>
      </w:pPr>
      <w:r w:rsidRPr="00EF48E5">
        <w:rPr>
          <w:lang w:val="es-419"/>
        </w:rPr>
        <w:t>Departamento de Ciencias Biológicas y Químicas, Facultad de Ciencias y Tecnología, Universidad de las Indias Occidentales - Cave Hill</w:t>
      </w:r>
    </w:p>
    <w:p w14:paraId="47EE2A8E" w14:textId="77777777" w:rsidR="00631842" w:rsidRPr="00EF48E5" w:rsidRDefault="00631842" w:rsidP="00631842">
      <w:pPr>
        <w:rPr>
          <w:lang w:val="es-419"/>
        </w:rPr>
      </w:pPr>
      <w:r w:rsidRPr="00EF48E5">
        <w:rPr>
          <w:lang w:val="es-419"/>
        </w:rPr>
        <w:t>Departamento de Ciencias de la Vida, Universidad de las Indias Occidentales - Mona</w:t>
      </w:r>
    </w:p>
    <w:p w14:paraId="16E3696C" w14:textId="77777777" w:rsidR="00631842" w:rsidRPr="00EF48E5" w:rsidRDefault="00631842" w:rsidP="00631842">
      <w:pPr>
        <w:rPr>
          <w:lang w:val="es-419"/>
        </w:rPr>
      </w:pPr>
      <w:r w:rsidRPr="00EF48E5">
        <w:rPr>
          <w:lang w:val="es-419"/>
        </w:rPr>
        <w:t xml:space="preserve">Deutsche </w:t>
      </w:r>
      <w:proofErr w:type="spellStart"/>
      <w:r w:rsidRPr="00EF48E5">
        <w:rPr>
          <w:lang w:val="es-419"/>
        </w:rPr>
        <w:t>Gesellschaft</w:t>
      </w:r>
      <w:proofErr w:type="spellEnd"/>
      <w:r w:rsidRPr="00EF48E5">
        <w:rPr>
          <w:lang w:val="es-419"/>
        </w:rPr>
        <w:t xml:space="preserve"> para internacional </w:t>
      </w:r>
      <w:proofErr w:type="spellStart"/>
      <w:r w:rsidRPr="00EF48E5">
        <w:rPr>
          <w:lang w:val="es-419"/>
        </w:rPr>
        <w:t>Zusammenarbeit</w:t>
      </w:r>
      <w:proofErr w:type="spellEnd"/>
      <w:r w:rsidRPr="00EF48E5">
        <w:rPr>
          <w:lang w:val="es-419"/>
        </w:rPr>
        <w:t xml:space="preserve"> </w:t>
      </w:r>
      <w:proofErr w:type="spellStart"/>
      <w:r w:rsidRPr="00EF48E5">
        <w:rPr>
          <w:lang w:val="es-419"/>
        </w:rPr>
        <w:t>GmbH</w:t>
      </w:r>
      <w:proofErr w:type="spellEnd"/>
      <w:r w:rsidRPr="00EF48E5">
        <w:rPr>
          <w:lang w:val="es-419"/>
        </w:rPr>
        <w:t xml:space="preserve"> (GIZ)</w:t>
      </w:r>
    </w:p>
    <w:p w14:paraId="2D5013ED" w14:textId="77777777" w:rsidR="00631842" w:rsidRPr="00EF48E5" w:rsidRDefault="00631842" w:rsidP="00631842">
      <w:pPr>
        <w:rPr>
          <w:lang w:val="es-419"/>
        </w:rPr>
      </w:pPr>
      <w:r w:rsidRPr="00EF48E5">
        <w:rPr>
          <w:lang w:val="es-419"/>
        </w:rPr>
        <w:t xml:space="preserve">Organización del Patrimonio Comunitario de </w:t>
      </w:r>
      <w:proofErr w:type="spellStart"/>
      <w:r w:rsidRPr="00EF48E5">
        <w:rPr>
          <w:lang w:val="es-419"/>
        </w:rPr>
        <w:t>Diamond</w:t>
      </w:r>
      <w:proofErr w:type="spellEnd"/>
      <w:r w:rsidRPr="00EF48E5">
        <w:rPr>
          <w:lang w:val="es-419"/>
        </w:rPr>
        <w:t xml:space="preserve"> </w:t>
      </w:r>
      <w:proofErr w:type="spellStart"/>
      <w:r w:rsidRPr="00EF48E5">
        <w:rPr>
          <w:lang w:val="es-419"/>
        </w:rPr>
        <w:t>Village</w:t>
      </w:r>
      <w:proofErr w:type="spellEnd"/>
    </w:p>
    <w:p w14:paraId="74192DB5" w14:textId="77777777" w:rsidR="00631842" w:rsidRPr="00EF48E5" w:rsidRDefault="00631842" w:rsidP="00631842">
      <w:pPr>
        <w:rPr>
          <w:lang w:val="es-419"/>
        </w:rPr>
      </w:pPr>
      <w:r w:rsidRPr="00EF48E5">
        <w:rPr>
          <w:lang w:val="es-419"/>
        </w:rPr>
        <w:t>Fideicomiso de Conservación de Vida Silvestre Durrell</w:t>
      </w:r>
    </w:p>
    <w:p w14:paraId="04FB64F4" w14:textId="77777777" w:rsidR="00631842" w:rsidRPr="00EF48E5" w:rsidRDefault="00631842" w:rsidP="00631842">
      <w:pPr>
        <w:rPr>
          <w:lang w:val="es-419"/>
        </w:rPr>
      </w:pPr>
      <w:r w:rsidRPr="00EF48E5">
        <w:rPr>
          <w:lang w:val="es-419"/>
        </w:rPr>
        <w:t>Grupo de Conciencia Ambiental (EAG)</w:t>
      </w:r>
    </w:p>
    <w:p w14:paraId="3B5CA335" w14:textId="77777777" w:rsidR="00631842" w:rsidRPr="00EF48E5" w:rsidRDefault="00631842" w:rsidP="00631842">
      <w:pPr>
        <w:rPr>
          <w:lang w:val="es-419"/>
        </w:rPr>
      </w:pPr>
      <w:r w:rsidRPr="00EF48E5">
        <w:rPr>
          <w:lang w:val="es-419"/>
        </w:rPr>
        <w:t>Fundación Ambiental de Jamaica (EFJ)</w:t>
      </w:r>
    </w:p>
    <w:p w14:paraId="6BEDF56D" w14:textId="77777777" w:rsidR="00631842" w:rsidRPr="00EF48E5" w:rsidRDefault="00631842" w:rsidP="00631842">
      <w:pPr>
        <w:rPr>
          <w:lang w:val="es-419"/>
        </w:rPr>
      </w:pPr>
      <w:r w:rsidRPr="00EF48E5">
        <w:rPr>
          <w:lang w:val="es-419"/>
        </w:rPr>
        <w:t>Soluciones Ambientales Ltda.</w:t>
      </w:r>
    </w:p>
    <w:p w14:paraId="22ED5A40" w14:textId="77777777" w:rsidR="00631842" w:rsidRPr="00EF48E5" w:rsidRDefault="00631842" w:rsidP="00631842">
      <w:pPr>
        <w:rPr>
          <w:lang w:val="es-419"/>
        </w:rPr>
      </w:pPr>
      <w:r w:rsidRPr="00EF48E5">
        <w:rPr>
          <w:lang w:val="es-419"/>
        </w:rPr>
        <w:t>Fauna y Flora Internacional (FFI)</w:t>
      </w:r>
    </w:p>
    <w:p w14:paraId="06AC0246" w14:textId="77777777" w:rsidR="00631842" w:rsidRPr="00EF48E5" w:rsidRDefault="00631842" w:rsidP="00631842">
      <w:pPr>
        <w:rPr>
          <w:lang w:val="es-419"/>
        </w:rPr>
      </w:pPr>
      <w:r w:rsidRPr="00EF48E5">
        <w:rPr>
          <w:lang w:val="es-419"/>
        </w:rPr>
        <w:t>Fundación Macaya para el Desarrollo (FMD)</w:t>
      </w:r>
    </w:p>
    <w:p w14:paraId="0FDFF3AD" w14:textId="77777777" w:rsidR="00631842" w:rsidRPr="00EF48E5" w:rsidRDefault="00631842" w:rsidP="00631842">
      <w:pPr>
        <w:rPr>
          <w:lang w:val="es-419"/>
        </w:rPr>
      </w:pPr>
      <w:r w:rsidRPr="00EF48E5">
        <w:rPr>
          <w:lang w:val="es-419"/>
        </w:rPr>
        <w:t>Fundación para la Biodiversidad Marina</w:t>
      </w:r>
    </w:p>
    <w:p w14:paraId="1D93E8D3" w14:textId="77777777" w:rsidR="00631842" w:rsidRPr="00EF48E5" w:rsidRDefault="00631842" w:rsidP="00631842">
      <w:pPr>
        <w:rPr>
          <w:lang w:val="es-419"/>
        </w:rPr>
      </w:pPr>
      <w:r w:rsidRPr="00EF48E5">
        <w:rPr>
          <w:lang w:val="es-419"/>
        </w:rPr>
        <w:t>Fundación Seguin</w:t>
      </w:r>
    </w:p>
    <w:p w14:paraId="4E57AA3D" w14:textId="77777777" w:rsidR="00631842" w:rsidRPr="00EF48E5" w:rsidRDefault="00631842" w:rsidP="00631842">
      <w:pPr>
        <w:rPr>
          <w:lang w:val="es-419"/>
        </w:rPr>
      </w:pPr>
      <w:r w:rsidRPr="00EF48E5">
        <w:rPr>
          <w:lang w:val="es-419"/>
        </w:rPr>
        <w:t xml:space="preserve">Fondo </w:t>
      </w:r>
      <w:proofErr w:type="gramStart"/>
      <w:r w:rsidRPr="00EF48E5">
        <w:rPr>
          <w:lang w:val="es-419"/>
        </w:rPr>
        <w:t>Pro Naturaleza</w:t>
      </w:r>
      <w:proofErr w:type="gramEnd"/>
      <w:r w:rsidRPr="00EF48E5">
        <w:rPr>
          <w:lang w:val="es-419"/>
        </w:rPr>
        <w:t xml:space="preserve"> (PRONATURA)</w:t>
      </w:r>
    </w:p>
    <w:p w14:paraId="142AB9DC" w14:textId="77777777" w:rsidR="00631842" w:rsidRPr="00EF48E5" w:rsidRDefault="00631842" w:rsidP="00631842">
      <w:pPr>
        <w:rPr>
          <w:lang w:val="es-419"/>
        </w:rPr>
      </w:pPr>
      <w:r w:rsidRPr="00EF48E5">
        <w:rPr>
          <w:lang w:val="es-419"/>
        </w:rPr>
        <w:t>Organización para la Agricultura y la Alimentación (FAO)</w:t>
      </w:r>
    </w:p>
    <w:p w14:paraId="4628DC47" w14:textId="77777777" w:rsidR="00631842" w:rsidRPr="00EF48E5" w:rsidRDefault="00631842" w:rsidP="00631842">
      <w:pPr>
        <w:rPr>
          <w:lang w:val="es-419"/>
        </w:rPr>
      </w:pPr>
      <w:r w:rsidRPr="00EF48E5">
        <w:rPr>
          <w:lang w:val="es-419"/>
        </w:rPr>
        <w:t>Fundación Ecológica Magua</w:t>
      </w:r>
    </w:p>
    <w:p w14:paraId="289761D7" w14:textId="77777777" w:rsidR="00631842" w:rsidRPr="00EF48E5" w:rsidRDefault="00631842" w:rsidP="00631842">
      <w:pPr>
        <w:rPr>
          <w:lang w:val="es-419"/>
        </w:rPr>
      </w:pPr>
      <w:r w:rsidRPr="00EF48E5">
        <w:rPr>
          <w:lang w:val="es-419"/>
        </w:rPr>
        <w:t>Fundación José Delio Guzmán</w:t>
      </w:r>
    </w:p>
    <w:p w14:paraId="52914AF9" w14:textId="77777777" w:rsidR="00631842" w:rsidRPr="000B4607" w:rsidRDefault="00631842" w:rsidP="00631842">
      <w:pPr>
        <w:rPr>
          <w:lang w:val="es-419"/>
        </w:rPr>
      </w:pPr>
      <w:r w:rsidRPr="000B4607">
        <w:rPr>
          <w:lang w:val="es-419"/>
        </w:rPr>
        <w:t>Fundación Loma Quita Espuela</w:t>
      </w:r>
    </w:p>
    <w:p w14:paraId="2AF61271" w14:textId="77777777" w:rsidR="00631842" w:rsidRPr="00EF48E5" w:rsidRDefault="00631842" w:rsidP="00631842">
      <w:pPr>
        <w:rPr>
          <w:lang w:val="es-419"/>
        </w:rPr>
      </w:pPr>
      <w:r w:rsidRPr="000B4607">
        <w:rPr>
          <w:lang w:val="es-419"/>
        </w:rPr>
        <w:t>Fundación PROGRESSIO</w:t>
      </w:r>
    </w:p>
    <w:p w14:paraId="3D2E46AD" w14:textId="77777777" w:rsidR="00631842" w:rsidRPr="00EF48E5" w:rsidRDefault="00631842" w:rsidP="00631842">
      <w:pPr>
        <w:rPr>
          <w:lang w:val="es-419"/>
        </w:rPr>
      </w:pPr>
      <w:r w:rsidRPr="00EF48E5">
        <w:rPr>
          <w:lang w:val="es-419"/>
        </w:rPr>
        <w:lastRenderedPageBreak/>
        <w:t>Fundación Propagas</w:t>
      </w:r>
    </w:p>
    <w:p w14:paraId="335A3B95" w14:textId="77777777" w:rsidR="00631842" w:rsidRPr="00EF48E5" w:rsidRDefault="00631842" w:rsidP="00631842">
      <w:pPr>
        <w:rPr>
          <w:lang w:val="es-419"/>
        </w:rPr>
      </w:pPr>
      <w:r w:rsidRPr="00EF48E5">
        <w:rPr>
          <w:lang w:val="es-419"/>
        </w:rPr>
        <w:t>Fundación Sur Futuro</w:t>
      </w:r>
    </w:p>
    <w:p w14:paraId="27AC89B7" w14:textId="4E30F9CC" w:rsidR="00631842" w:rsidRPr="00EF48E5" w:rsidRDefault="00631842" w:rsidP="00631842">
      <w:pPr>
        <w:rPr>
          <w:lang w:val="es-419"/>
        </w:rPr>
      </w:pPr>
      <w:r w:rsidRPr="00EF48E5">
        <w:rPr>
          <w:lang w:val="es-419"/>
        </w:rPr>
        <w:t xml:space="preserve">Proyecto de </w:t>
      </w:r>
      <w:r w:rsidR="004544C1">
        <w:rPr>
          <w:lang w:val="es-419"/>
        </w:rPr>
        <w:t>C</w:t>
      </w:r>
      <w:r w:rsidRPr="00EF48E5">
        <w:rPr>
          <w:lang w:val="es-419"/>
        </w:rPr>
        <w:t xml:space="preserve">onservación de </w:t>
      </w:r>
      <w:r w:rsidR="004544C1">
        <w:rPr>
          <w:lang w:val="es-419"/>
        </w:rPr>
        <w:t>P</w:t>
      </w:r>
      <w:r w:rsidRPr="00EF48E5">
        <w:rPr>
          <w:lang w:val="es-419"/>
        </w:rPr>
        <w:t>alomas de Granada</w:t>
      </w:r>
    </w:p>
    <w:p w14:paraId="212BE901" w14:textId="77777777" w:rsidR="00631842" w:rsidRPr="00EF48E5" w:rsidRDefault="00631842" w:rsidP="00631842">
      <w:pPr>
        <w:rPr>
          <w:lang w:val="es-419"/>
        </w:rPr>
      </w:pPr>
      <w:r w:rsidRPr="00EF48E5">
        <w:rPr>
          <w:lang w:val="es-419"/>
        </w:rPr>
        <w:t>Grupo Jaragua Inc. (GJ)</w:t>
      </w:r>
    </w:p>
    <w:p w14:paraId="2C9695B2" w14:textId="3F275BB1" w:rsidR="00631842" w:rsidRPr="00EF48E5" w:rsidRDefault="00631842" w:rsidP="00631842">
      <w:pPr>
        <w:rPr>
          <w:lang w:val="es-419"/>
        </w:rPr>
      </w:pPr>
      <w:r w:rsidRPr="00EF48E5">
        <w:rPr>
          <w:lang w:val="es-419"/>
        </w:rPr>
        <w:t xml:space="preserve">Grupo Social </w:t>
      </w:r>
      <w:r w:rsidR="004544C1" w:rsidRPr="00EF48E5">
        <w:rPr>
          <w:lang w:val="es-419"/>
        </w:rPr>
        <w:t>Ecológico</w:t>
      </w:r>
    </w:p>
    <w:p w14:paraId="27F98856" w14:textId="586818C0" w:rsidR="00631842" w:rsidRPr="00EF48E5" w:rsidRDefault="00631842" w:rsidP="00631842">
      <w:pPr>
        <w:rPr>
          <w:lang w:val="es-419"/>
        </w:rPr>
      </w:pPr>
      <w:r w:rsidRPr="00EF48E5">
        <w:rPr>
          <w:lang w:val="es-419"/>
        </w:rPr>
        <w:t xml:space="preserve">HELVETAS </w:t>
      </w:r>
      <w:proofErr w:type="spellStart"/>
      <w:r w:rsidRPr="00EF48E5">
        <w:rPr>
          <w:lang w:val="es-419"/>
        </w:rPr>
        <w:t>Intercooperación</w:t>
      </w:r>
      <w:proofErr w:type="spellEnd"/>
      <w:r w:rsidRPr="00EF48E5">
        <w:rPr>
          <w:lang w:val="es-419"/>
        </w:rPr>
        <w:t xml:space="preserve"> </w:t>
      </w:r>
      <w:r w:rsidR="004544C1">
        <w:rPr>
          <w:lang w:val="es-419"/>
        </w:rPr>
        <w:t>S</w:t>
      </w:r>
      <w:r w:rsidRPr="00EF48E5">
        <w:rPr>
          <w:lang w:val="es-419"/>
        </w:rPr>
        <w:t>uiza</w:t>
      </w:r>
    </w:p>
    <w:p w14:paraId="2AF00756" w14:textId="77777777" w:rsidR="00631842" w:rsidRPr="00EF48E5" w:rsidRDefault="00631842" w:rsidP="00631842">
      <w:pPr>
        <w:rPr>
          <w:lang w:val="es-419"/>
        </w:rPr>
      </w:pPr>
      <w:r w:rsidRPr="00EF48E5">
        <w:rPr>
          <w:lang w:val="es-419"/>
        </w:rPr>
        <w:t>Colegio Imperial de Londres</w:t>
      </w:r>
    </w:p>
    <w:p w14:paraId="55563BA4" w14:textId="77777777" w:rsidR="00631842" w:rsidRPr="00EF48E5" w:rsidRDefault="00631842" w:rsidP="00631842">
      <w:pPr>
        <w:rPr>
          <w:lang w:val="es-419"/>
        </w:rPr>
      </w:pPr>
      <w:r w:rsidRPr="00EF48E5">
        <w:rPr>
          <w:lang w:val="es-419"/>
        </w:rPr>
        <w:t>Instituto para el Desarrollo Sostenible, Universidad de las Indias Occidentales - Mona</w:t>
      </w:r>
    </w:p>
    <w:p w14:paraId="683AF4C4" w14:textId="77777777" w:rsidR="00631842" w:rsidRPr="00EF48E5" w:rsidRDefault="00631842" w:rsidP="00631842">
      <w:pPr>
        <w:rPr>
          <w:lang w:val="es-419"/>
        </w:rPr>
      </w:pPr>
      <w:r w:rsidRPr="00EF48E5">
        <w:rPr>
          <w:lang w:val="es-419"/>
        </w:rPr>
        <w:t>Instituto Dominicano de Desarrollo Integral (IDDI)</w:t>
      </w:r>
    </w:p>
    <w:p w14:paraId="38CCFC83" w14:textId="77777777" w:rsidR="00631842" w:rsidRPr="00EF48E5" w:rsidRDefault="00631842" w:rsidP="00631842">
      <w:pPr>
        <w:rPr>
          <w:lang w:val="es-419"/>
        </w:rPr>
      </w:pPr>
      <w:r w:rsidRPr="00EF48E5">
        <w:rPr>
          <w:lang w:val="es-419"/>
        </w:rPr>
        <w:t>Instituto Tecnológico de Santo Domingo</w:t>
      </w:r>
    </w:p>
    <w:p w14:paraId="2B000A5A" w14:textId="77777777" w:rsidR="00631842" w:rsidRPr="00EF48E5" w:rsidRDefault="00631842" w:rsidP="00631842">
      <w:pPr>
        <w:rPr>
          <w:lang w:val="es-419"/>
        </w:rPr>
      </w:pPr>
      <w:r w:rsidRPr="00EF48E5">
        <w:rPr>
          <w:lang w:val="es-419"/>
        </w:rPr>
        <w:t>Banco Interamericano de Desarrollo (BID)</w:t>
      </w:r>
    </w:p>
    <w:p w14:paraId="5060867C" w14:textId="77777777" w:rsidR="000B4607" w:rsidRDefault="000B4607" w:rsidP="000B4607">
      <w:r>
        <w:t xml:space="preserve">Island </w:t>
      </w:r>
      <w:proofErr w:type="spellStart"/>
      <w:r>
        <w:t>Conservation</w:t>
      </w:r>
      <w:proofErr w:type="spellEnd"/>
    </w:p>
    <w:p w14:paraId="1C22B9FB" w14:textId="77777777" w:rsidR="00631842" w:rsidRPr="00EF48E5" w:rsidRDefault="00631842" w:rsidP="00631842">
      <w:pPr>
        <w:rPr>
          <w:lang w:val="es-419"/>
        </w:rPr>
      </w:pPr>
      <w:r w:rsidRPr="00EF48E5">
        <w:rPr>
          <w:lang w:val="es-419"/>
        </w:rPr>
        <w:t>Fideicomiso de Conservación y Desarrollo de Jamaica</w:t>
      </w:r>
    </w:p>
    <w:p w14:paraId="7B4588A7" w14:textId="2139A540" w:rsidR="00631842" w:rsidRPr="00EF48E5" w:rsidRDefault="00631842" w:rsidP="00631842">
      <w:pPr>
        <w:rPr>
          <w:lang w:val="es-419"/>
        </w:rPr>
      </w:pPr>
      <w:r w:rsidRPr="00EF48E5">
        <w:rPr>
          <w:lang w:val="es-419"/>
        </w:rPr>
        <w:t xml:space="preserve">Fideicomiso Ambiental </w:t>
      </w:r>
      <w:r w:rsidR="004544C1">
        <w:rPr>
          <w:lang w:val="es-419"/>
        </w:rPr>
        <w:t xml:space="preserve">de </w:t>
      </w:r>
      <w:r w:rsidR="004544C1" w:rsidRPr="00EF48E5">
        <w:rPr>
          <w:lang w:val="es-419"/>
        </w:rPr>
        <w:t xml:space="preserve">Jamaica </w:t>
      </w:r>
      <w:r w:rsidRPr="00EF48E5">
        <w:rPr>
          <w:lang w:val="es-419"/>
        </w:rPr>
        <w:t>(JET)</w:t>
      </w:r>
    </w:p>
    <w:p w14:paraId="359870E5" w14:textId="073689AA" w:rsidR="00631842" w:rsidRPr="00EF48E5" w:rsidRDefault="00631842" w:rsidP="00631842">
      <w:pPr>
        <w:rPr>
          <w:lang w:val="es-419"/>
        </w:rPr>
      </w:pPr>
      <w:r w:rsidRPr="00EF48E5">
        <w:rPr>
          <w:lang w:val="es-419"/>
        </w:rPr>
        <w:t>Departamento</w:t>
      </w:r>
      <w:r w:rsidR="004544C1" w:rsidRPr="004544C1">
        <w:rPr>
          <w:lang w:val="es-419"/>
        </w:rPr>
        <w:t xml:space="preserve"> </w:t>
      </w:r>
      <w:r w:rsidR="004544C1">
        <w:rPr>
          <w:lang w:val="es-419"/>
        </w:rPr>
        <w:t xml:space="preserve">de </w:t>
      </w:r>
      <w:r w:rsidR="004544C1" w:rsidRPr="00EF48E5">
        <w:rPr>
          <w:lang w:val="es-419"/>
        </w:rPr>
        <w:t xml:space="preserve">Silvicultura </w:t>
      </w:r>
      <w:r w:rsidR="004544C1">
        <w:rPr>
          <w:lang w:val="es-419"/>
        </w:rPr>
        <w:t xml:space="preserve">de </w:t>
      </w:r>
      <w:r w:rsidR="004544C1" w:rsidRPr="00EF48E5">
        <w:rPr>
          <w:lang w:val="es-419"/>
        </w:rPr>
        <w:t>Jamaica</w:t>
      </w:r>
    </w:p>
    <w:p w14:paraId="342FCF58" w14:textId="77777777" w:rsidR="00631842" w:rsidRPr="00EF48E5" w:rsidRDefault="00631842" w:rsidP="00631842">
      <w:pPr>
        <w:rPr>
          <w:lang w:val="es-419"/>
        </w:rPr>
      </w:pPr>
      <w:r w:rsidRPr="00EF48E5">
        <w:rPr>
          <w:lang w:val="es-419"/>
        </w:rPr>
        <w:t>KIUNZI</w:t>
      </w:r>
    </w:p>
    <w:p w14:paraId="293227C1" w14:textId="77777777" w:rsidR="00631842" w:rsidRPr="00EF48E5" w:rsidRDefault="00631842" w:rsidP="00631842">
      <w:pPr>
        <w:rPr>
          <w:lang w:val="es-419"/>
        </w:rPr>
      </w:pPr>
      <w:r w:rsidRPr="00EF48E5">
        <w:rPr>
          <w:lang w:val="es-419"/>
        </w:rPr>
        <w:t xml:space="preserve">Le </w:t>
      </w:r>
      <w:proofErr w:type="spellStart"/>
      <w:r w:rsidRPr="00EF48E5">
        <w:rPr>
          <w:lang w:val="es-419"/>
        </w:rPr>
        <w:t>Nouvelliste</w:t>
      </w:r>
      <w:proofErr w:type="spellEnd"/>
      <w:r w:rsidRPr="00EF48E5">
        <w:rPr>
          <w:lang w:val="es-419"/>
        </w:rPr>
        <w:t xml:space="preserve"> Haití</w:t>
      </w:r>
    </w:p>
    <w:p w14:paraId="042BE737" w14:textId="77777777" w:rsidR="00631842" w:rsidRPr="00EF48E5" w:rsidRDefault="00631842" w:rsidP="00631842">
      <w:pPr>
        <w:rPr>
          <w:lang w:val="es-419"/>
        </w:rPr>
      </w:pPr>
      <w:r w:rsidRPr="00EF48E5">
        <w:rPr>
          <w:lang w:val="es-419"/>
        </w:rPr>
        <w:t>Ministerio de Medio Ambiente de Haití (MDE)</w:t>
      </w:r>
    </w:p>
    <w:p w14:paraId="2351E320" w14:textId="77777777" w:rsidR="00631842" w:rsidRPr="00EF48E5" w:rsidRDefault="00631842" w:rsidP="00631842">
      <w:pPr>
        <w:rPr>
          <w:lang w:val="es-419"/>
        </w:rPr>
      </w:pPr>
      <w:r w:rsidRPr="00EF48E5">
        <w:rPr>
          <w:lang w:val="es-419"/>
        </w:rPr>
        <w:t>Ministerio de Educación Superior, Ciencia y Tecnología de la República Dominicana</w:t>
      </w:r>
    </w:p>
    <w:p w14:paraId="17831AAB" w14:textId="77777777" w:rsidR="00631842" w:rsidRPr="00EF48E5" w:rsidRDefault="00631842" w:rsidP="00631842">
      <w:pPr>
        <w:rPr>
          <w:lang w:val="es-419"/>
        </w:rPr>
      </w:pPr>
      <w:r w:rsidRPr="00EF48E5">
        <w:rPr>
          <w:lang w:val="es-419"/>
        </w:rPr>
        <w:t>Ministerio de Medio Ambiente y Recursos Naturales de la República Dominicana</w:t>
      </w:r>
    </w:p>
    <w:p w14:paraId="1BA2D602" w14:textId="77777777" w:rsidR="00631842" w:rsidRPr="00EF48E5" w:rsidRDefault="00631842" w:rsidP="00631842">
      <w:pPr>
        <w:rPr>
          <w:lang w:val="es-419"/>
        </w:rPr>
      </w:pPr>
      <w:r w:rsidRPr="00EF48E5">
        <w:rPr>
          <w:lang w:val="es-419"/>
        </w:rPr>
        <w:t>Ministerio de Agricultura y Pesca, División de Silvicultura, Vida Silvestre y Parques Nacionales, Gobierno de Dominica</w:t>
      </w:r>
    </w:p>
    <w:p w14:paraId="50F8D3EE" w14:textId="77777777" w:rsidR="00631842" w:rsidRPr="00EF48E5" w:rsidRDefault="00631842" w:rsidP="00631842">
      <w:pPr>
        <w:rPr>
          <w:lang w:val="es-419"/>
        </w:rPr>
      </w:pPr>
      <w:r w:rsidRPr="00EF48E5">
        <w:rPr>
          <w:lang w:val="es-419"/>
        </w:rPr>
        <w:t>Ministerio de Agricultura, Pesca, Planificación Física, Recursos Naturales y Cooperativas, Departamento Forestal, Gobierno de Santa Lucía</w:t>
      </w:r>
    </w:p>
    <w:p w14:paraId="74E73D0E" w14:textId="77777777" w:rsidR="00631842" w:rsidRPr="00EF48E5" w:rsidRDefault="00631842" w:rsidP="00631842">
      <w:pPr>
        <w:rPr>
          <w:lang w:val="es-419"/>
        </w:rPr>
      </w:pPr>
      <w:r w:rsidRPr="00EF48E5">
        <w:rPr>
          <w:lang w:val="es-419"/>
        </w:rPr>
        <w:t xml:space="preserve">Ministerio de Agricultura, Industria, Silvicultura, Pesca y Transformación Rural, Departamento de Silvicultura, Gobierno de San Vicente y las </w:t>
      </w:r>
      <w:proofErr w:type="gramStart"/>
      <w:r w:rsidRPr="00EF48E5">
        <w:rPr>
          <w:lang w:val="es-419"/>
        </w:rPr>
        <w:t>Granadinas</w:t>
      </w:r>
      <w:proofErr w:type="gramEnd"/>
    </w:p>
    <w:p w14:paraId="661E3BFE" w14:textId="77777777" w:rsidR="00631842" w:rsidRPr="00EF48E5" w:rsidRDefault="00631842" w:rsidP="00631842">
      <w:pPr>
        <w:rPr>
          <w:lang w:val="es-419"/>
        </w:rPr>
      </w:pPr>
      <w:r w:rsidRPr="00EF48E5">
        <w:rPr>
          <w:lang w:val="es-419"/>
        </w:rPr>
        <w:t>Ministerio de Agricultura, Tierras, Silvicultura, Pesca y Medio Ambiente, Departamento de Silvicultura, Gobierno de Granada</w:t>
      </w:r>
    </w:p>
    <w:p w14:paraId="30F06D7F" w14:textId="77777777" w:rsidR="00631842" w:rsidRPr="00EF48E5" w:rsidRDefault="00631842" w:rsidP="00631842">
      <w:pPr>
        <w:rPr>
          <w:lang w:val="es-419"/>
        </w:rPr>
      </w:pPr>
      <w:r w:rsidRPr="00EF48E5">
        <w:rPr>
          <w:lang w:val="es-419"/>
        </w:rPr>
        <w:t>Ministerio de Crecimiento Económico y Creación de Empleo, Gobierno de Jamaica</w:t>
      </w:r>
    </w:p>
    <w:p w14:paraId="12A55C09" w14:textId="77777777" w:rsidR="00631842" w:rsidRPr="00EF48E5" w:rsidRDefault="00631842" w:rsidP="00631842">
      <w:pPr>
        <w:rPr>
          <w:lang w:val="es-419"/>
        </w:rPr>
      </w:pPr>
      <w:r w:rsidRPr="00EF48E5">
        <w:rPr>
          <w:lang w:val="es-419"/>
        </w:rPr>
        <w:t>Ministerio de Educación, Innovación, Relaciones de Género y Desarrollo Sostenible, Departamento de Desarrollo Sostenible, Gobierno de Santa Lucía</w:t>
      </w:r>
    </w:p>
    <w:p w14:paraId="6CC86FE7" w14:textId="77777777" w:rsidR="00631842" w:rsidRPr="00EF48E5" w:rsidRDefault="00631842" w:rsidP="00631842">
      <w:pPr>
        <w:rPr>
          <w:lang w:val="es-419"/>
        </w:rPr>
      </w:pPr>
      <w:r w:rsidRPr="00EF48E5">
        <w:rPr>
          <w:lang w:val="es-419"/>
        </w:rPr>
        <w:t xml:space="preserve">Ministerio de Salud, Bienestar y Medio Ambiente, Gobierno de San Vicente y las </w:t>
      </w:r>
      <w:proofErr w:type="gramStart"/>
      <w:r w:rsidRPr="00EF48E5">
        <w:rPr>
          <w:lang w:val="es-419"/>
        </w:rPr>
        <w:t>Granadinas</w:t>
      </w:r>
      <w:proofErr w:type="gramEnd"/>
    </w:p>
    <w:p w14:paraId="6079D851" w14:textId="77777777" w:rsidR="00631842" w:rsidRPr="00EF48E5" w:rsidRDefault="00631842" w:rsidP="00631842">
      <w:pPr>
        <w:rPr>
          <w:lang w:val="es-419"/>
        </w:rPr>
      </w:pPr>
      <w:r w:rsidRPr="00EF48E5">
        <w:rPr>
          <w:lang w:val="es-419"/>
        </w:rPr>
        <w:t>Ministerio de Industria, Comercio, Agricultura y Pesca, División de Pesca, Gobierno de Jamaica</w:t>
      </w:r>
    </w:p>
    <w:p w14:paraId="3D6C8EBE" w14:textId="77777777" w:rsidR="00631842" w:rsidRPr="00EF48E5" w:rsidRDefault="00631842" w:rsidP="00631842">
      <w:pPr>
        <w:rPr>
          <w:lang w:val="es-419"/>
        </w:rPr>
      </w:pPr>
      <w:r w:rsidRPr="00EF48E5">
        <w:rPr>
          <w:lang w:val="es-419"/>
        </w:rPr>
        <w:t>Museo Nacional de Historia Natural de la República Dominicana</w:t>
      </w:r>
    </w:p>
    <w:p w14:paraId="08ACD768" w14:textId="77777777" w:rsidR="00631842" w:rsidRPr="00EF48E5" w:rsidRDefault="00631842" w:rsidP="00631842">
      <w:pPr>
        <w:rPr>
          <w:lang w:val="es-419"/>
        </w:rPr>
      </w:pPr>
      <w:r w:rsidRPr="00EF48E5">
        <w:rPr>
          <w:lang w:val="es-419"/>
        </w:rPr>
        <w:t>Agencia Nacional de Planificación y Medio Ambiente (NEPA), Gobierno de Jamaica</w:t>
      </w:r>
    </w:p>
    <w:p w14:paraId="69D07616" w14:textId="77777777" w:rsidR="00631842" w:rsidRPr="00EF48E5" w:rsidRDefault="00631842" w:rsidP="00631842">
      <w:pPr>
        <w:rPr>
          <w:lang w:val="es-419"/>
        </w:rPr>
      </w:pPr>
      <w:r w:rsidRPr="00EF48E5">
        <w:rPr>
          <w:lang w:val="es-419"/>
        </w:rPr>
        <w:t xml:space="preserve">Autoridad de Parques Nacionales, Ríos y Playas de San Vicente y las </w:t>
      </w:r>
      <w:proofErr w:type="gramStart"/>
      <w:r w:rsidRPr="00EF48E5">
        <w:rPr>
          <w:lang w:val="es-419"/>
        </w:rPr>
        <w:t>Granadinas</w:t>
      </w:r>
      <w:proofErr w:type="gramEnd"/>
    </w:p>
    <w:p w14:paraId="7D4F2ADE" w14:textId="77777777" w:rsidR="00631842" w:rsidRPr="00EF48E5" w:rsidRDefault="00631842" w:rsidP="00631842">
      <w:pPr>
        <w:rPr>
          <w:lang w:val="es-419"/>
        </w:rPr>
      </w:pPr>
      <w:r w:rsidRPr="00EF48E5">
        <w:rPr>
          <w:lang w:val="es-419"/>
        </w:rPr>
        <w:t>Fondo Fiduciario Nacional de Áreas Protegidas (Jamaica)</w:t>
      </w:r>
    </w:p>
    <w:p w14:paraId="612C70AC" w14:textId="77777777" w:rsidR="00631842" w:rsidRPr="00EF48E5" w:rsidRDefault="00631842" w:rsidP="00631842">
      <w:pPr>
        <w:rPr>
          <w:lang w:val="es-419"/>
        </w:rPr>
      </w:pPr>
      <w:r w:rsidRPr="00EF48E5">
        <w:rPr>
          <w:lang w:val="es-419"/>
        </w:rPr>
        <w:t>Museo de Historia Natural de Jamaica - Instituto de Jamaica</w:t>
      </w:r>
    </w:p>
    <w:p w14:paraId="00EB513A" w14:textId="77777777" w:rsidR="00631842" w:rsidRPr="00EF48E5" w:rsidRDefault="00631842" w:rsidP="00631842">
      <w:pPr>
        <w:rPr>
          <w:lang w:val="es-419"/>
        </w:rPr>
      </w:pPr>
      <w:r w:rsidRPr="00EF48E5">
        <w:rPr>
          <w:lang w:val="es-419"/>
        </w:rPr>
        <w:t xml:space="preserve">Fideicomiso de Protección Ambiental de </w:t>
      </w:r>
      <w:proofErr w:type="spellStart"/>
      <w:r w:rsidRPr="00EF48E5">
        <w:rPr>
          <w:lang w:val="es-419"/>
        </w:rPr>
        <w:t>Negril</w:t>
      </w:r>
      <w:proofErr w:type="spellEnd"/>
      <w:r w:rsidRPr="00EF48E5">
        <w:rPr>
          <w:lang w:val="es-419"/>
        </w:rPr>
        <w:t xml:space="preserve"> (NEPT)</w:t>
      </w:r>
    </w:p>
    <w:p w14:paraId="5E97D045" w14:textId="77777777" w:rsidR="00631842" w:rsidRPr="00EF48E5" w:rsidRDefault="00631842" w:rsidP="00631842">
      <w:pPr>
        <w:rPr>
          <w:lang w:val="es-419"/>
        </w:rPr>
      </w:pPr>
      <w:r w:rsidRPr="00EF48E5">
        <w:rPr>
          <w:lang w:val="es-419"/>
        </w:rPr>
        <w:t>Departamento de Agua de Nieves</w:t>
      </w:r>
    </w:p>
    <w:p w14:paraId="011DDBBC" w14:textId="77777777" w:rsidR="00631842" w:rsidRPr="00EF48E5" w:rsidRDefault="00631842" w:rsidP="00631842">
      <w:pPr>
        <w:rPr>
          <w:lang w:val="es-419"/>
        </w:rPr>
      </w:pPr>
      <w:proofErr w:type="spellStart"/>
      <w:r w:rsidRPr="00EF48E5">
        <w:rPr>
          <w:lang w:val="es-419"/>
        </w:rPr>
        <w:lastRenderedPageBreak/>
        <w:t>Observatoire</w:t>
      </w:r>
      <w:proofErr w:type="spellEnd"/>
      <w:r w:rsidRPr="00EF48E5">
        <w:rPr>
          <w:lang w:val="es-419"/>
        </w:rPr>
        <w:t xml:space="preserve"> </w:t>
      </w:r>
      <w:proofErr w:type="spellStart"/>
      <w:r w:rsidRPr="00EF48E5">
        <w:rPr>
          <w:lang w:val="es-419"/>
        </w:rPr>
        <w:t>National</w:t>
      </w:r>
      <w:proofErr w:type="spellEnd"/>
      <w:r w:rsidRPr="00EF48E5">
        <w:rPr>
          <w:lang w:val="es-419"/>
        </w:rPr>
        <w:t xml:space="preserve"> de </w:t>
      </w:r>
      <w:proofErr w:type="spellStart"/>
      <w:r w:rsidRPr="00EF48E5">
        <w:rPr>
          <w:lang w:val="es-419"/>
        </w:rPr>
        <w:t>l'Environnement</w:t>
      </w:r>
      <w:proofErr w:type="spellEnd"/>
      <w:r w:rsidRPr="00EF48E5">
        <w:rPr>
          <w:lang w:val="es-419"/>
        </w:rPr>
        <w:t xml:space="preserve"> et de la </w:t>
      </w:r>
      <w:proofErr w:type="spellStart"/>
      <w:r w:rsidRPr="00EF48E5">
        <w:rPr>
          <w:lang w:val="es-419"/>
        </w:rPr>
        <w:t>Vulnérabilité</w:t>
      </w:r>
      <w:proofErr w:type="spellEnd"/>
    </w:p>
    <w:p w14:paraId="7183731E" w14:textId="77777777" w:rsidR="00631842" w:rsidRPr="00EF48E5" w:rsidRDefault="00631842" w:rsidP="00631842">
      <w:pPr>
        <w:rPr>
          <w:lang w:val="es-419"/>
        </w:rPr>
      </w:pPr>
      <w:r w:rsidRPr="00EF48E5">
        <w:rPr>
          <w:lang w:val="es-419"/>
        </w:rPr>
        <w:t xml:space="preserve">Organización para el Desarrollo de la </w:t>
      </w:r>
      <w:proofErr w:type="spellStart"/>
      <w:r w:rsidRPr="00EF48E5">
        <w:rPr>
          <w:lang w:val="es-419"/>
        </w:rPr>
        <w:t>Forêt</w:t>
      </w:r>
      <w:proofErr w:type="spellEnd"/>
      <w:r w:rsidRPr="00EF48E5">
        <w:rPr>
          <w:lang w:val="es-419"/>
        </w:rPr>
        <w:t xml:space="preserve"> des </w:t>
      </w:r>
      <w:proofErr w:type="spellStart"/>
      <w:r w:rsidRPr="00EF48E5">
        <w:rPr>
          <w:lang w:val="es-419"/>
        </w:rPr>
        <w:t>Pins</w:t>
      </w:r>
      <w:proofErr w:type="spellEnd"/>
      <w:r w:rsidRPr="00EF48E5">
        <w:rPr>
          <w:lang w:val="es-419"/>
        </w:rPr>
        <w:t xml:space="preserve"> (OPDFM)</w:t>
      </w:r>
    </w:p>
    <w:p w14:paraId="3DB4CA32" w14:textId="77777777" w:rsidR="000B4607" w:rsidRPr="00904773" w:rsidRDefault="000B4607" w:rsidP="000B4607">
      <w:pPr>
        <w:rPr>
          <w:lang w:val="fr-FR"/>
        </w:rPr>
      </w:pPr>
      <w:r w:rsidRPr="00904773">
        <w:rPr>
          <w:lang w:val="fr-FR"/>
        </w:rPr>
        <w:t>Panos Caribbean</w:t>
      </w:r>
    </w:p>
    <w:p w14:paraId="7E7CBD87" w14:textId="77777777" w:rsidR="00631842" w:rsidRPr="00EF48E5" w:rsidRDefault="00631842" w:rsidP="00631842">
      <w:pPr>
        <w:rPr>
          <w:lang w:val="es-419"/>
        </w:rPr>
      </w:pPr>
      <w:r w:rsidRPr="00EF48E5">
        <w:rPr>
          <w:lang w:val="es-419"/>
        </w:rPr>
        <w:t>Parque Nacional Natural Macaya</w:t>
      </w:r>
    </w:p>
    <w:p w14:paraId="127FED51" w14:textId="77777777" w:rsidR="00631842" w:rsidRPr="00EF48E5" w:rsidRDefault="00631842" w:rsidP="00631842">
      <w:pPr>
        <w:rPr>
          <w:lang w:val="es-419"/>
        </w:rPr>
      </w:pPr>
      <w:r w:rsidRPr="00EF48E5">
        <w:rPr>
          <w:lang w:val="es-419"/>
        </w:rPr>
        <w:t>Instituto de Planificación de Jamaica (PIOJ)</w:t>
      </w:r>
    </w:p>
    <w:p w14:paraId="50BFE6E9" w14:textId="77777777" w:rsidR="00631842" w:rsidRPr="00EF48E5" w:rsidRDefault="00631842" w:rsidP="00631842">
      <w:pPr>
        <w:rPr>
          <w:lang w:val="es-419"/>
        </w:rPr>
      </w:pPr>
      <w:r w:rsidRPr="00EF48E5">
        <w:rPr>
          <w:lang w:val="es-419"/>
        </w:rPr>
        <w:t>Pontificia Universidad Católica Madre y Maestra (PUCMM)</w:t>
      </w:r>
    </w:p>
    <w:p w14:paraId="6D0A521B" w14:textId="77777777" w:rsidR="00631842" w:rsidRPr="00EF48E5" w:rsidRDefault="00631842" w:rsidP="00631842">
      <w:pPr>
        <w:rPr>
          <w:lang w:val="es-419"/>
        </w:rPr>
      </w:pPr>
      <w:r w:rsidRPr="00EF48E5">
        <w:rPr>
          <w:lang w:val="es-419"/>
        </w:rPr>
        <w:t xml:space="preserve">Red Nacional de Apoyo Empresarial a la Protección Ambiental </w:t>
      </w:r>
      <w:proofErr w:type="gramStart"/>
      <w:r w:rsidRPr="00EF48E5">
        <w:rPr>
          <w:lang w:val="es-419"/>
        </w:rPr>
        <w:t xml:space="preserve">( </w:t>
      </w:r>
      <w:proofErr w:type="spellStart"/>
      <w:r w:rsidRPr="00EF48E5">
        <w:rPr>
          <w:lang w:val="es-419"/>
        </w:rPr>
        <w:t>EcoRed</w:t>
      </w:r>
      <w:proofErr w:type="spellEnd"/>
      <w:proofErr w:type="gramEnd"/>
      <w:r w:rsidRPr="00EF48E5">
        <w:rPr>
          <w:lang w:val="es-419"/>
        </w:rPr>
        <w:t xml:space="preserve"> )</w:t>
      </w:r>
    </w:p>
    <w:p w14:paraId="3FFCD15E" w14:textId="77777777" w:rsidR="00631842" w:rsidRPr="00EF48E5" w:rsidRDefault="00631842" w:rsidP="00631842">
      <w:pPr>
        <w:rPr>
          <w:lang w:val="es-419"/>
        </w:rPr>
      </w:pPr>
      <w:proofErr w:type="spellStart"/>
      <w:r w:rsidRPr="00EF48E5">
        <w:rPr>
          <w:lang w:val="es-419"/>
        </w:rPr>
        <w:t>Réseau</w:t>
      </w:r>
      <w:proofErr w:type="spellEnd"/>
      <w:r w:rsidRPr="00EF48E5">
        <w:rPr>
          <w:lang w:val="es-419"/>
        </w:rPr>
        <w:t xml:space="preserve"> </w:t>
      </w:r>
      <w:proofErr w:type="spellStart"/>
      <w:r w:rsidRPr="00EF48E5">
        <w:rPr>
          <w:lang w:val="es-419"/>
        </w:rPr>
        <w:t>d'Enseignement</w:t>
      </w:r>
      <w:proofErr w:type="spellEnd"/>
      <w:r w:rsidRPr="00EF48E5">
        <w:rPr>
          <w:lang w:val="es-419"/>
        </w:rPr>
        <w:t xml:space="preserve"> </w:t>
      </w:r>
      <w:proofErr w:type="spellStart"/>
      <w:r w:rsidRPr="00EF48E5">
        <w:rPr>
          <w:lang w:val="es-419"/>
        </w:rPr>
        <w:t>Professionnel</w:t>
      </w:r>
      <w:proofErr w:type="spellEnd"/>
      <w:r w:rsidRPr="00EF48E5">
        <w:rPr>
          <w:lang w:val="es-419"/>
        </w:rPr>
        <w:t xml:space="preserve"> et </w:t>
      </w:r>
      <w:proofErr w:type="spellStart"/>
      <w:r w:rsidRPr="00EF48E5">
        <w:rPr>
          <w:lang w:val="es-419"/>
        </w:rPr>
        <w:t>d'Interventions</w:t>
      </w:r>
      <w:proofErr w:type="spellEnd"/>
      <w:r w:rsidRPr="00EF48E5">
        <w:rPr>
          <w:lang w:val="es-419"/>
        </w:rPr>
        <w:t xml:space="preserve"> </w:t>
      </w:r>
      <w:proofErr w:type="spellStart"/>
      <w:r w:rsidRPr="00EF48E5">
        <w:rPr>
          <w:lang w:val="es-419"/>
        </w:rPr>
        <w:t>Ecologiques</w:t>
      </w:r>
      <w:proofErr w:type="spellEnd"/>
      <w:r w:rsidRPr="00EF48E5">
        <w:rPr>
          <w:lang w:val="es-419"/>
        </w:rPr>
        <w:t xml:space="preserve"> (REPIE)</w:t>
      </w:r>
    </w:p>
    <w:p w14:paraId="60F8CADA" w14:textId="77777777" w:rsidR="00631842" w:rsidRPr="00EF48E5" w:rsidRDefault="00631842" w:rsidP="00631842">
      <w:pPr>
        <w:rPr>
          <w:lang w:val="es-419"/>
        </w:rPr>
      </w:pPr>
      <w:proofErr w:type="spellStart"/>
      <w:r w:rsidRPr="00EF48E5">
        <w:rPr>
          <w:lang w:val="es-419"/>
        </w:rPr>
        <w:t>Russa</w:t>
      </w:r>
      <w:proofErr w:type="spellEnd"/>
      <w:r w:rsidRPr="00EF48E5">
        <w:rPr>
          <w:lang w:val="es-419"/>
        </w:rPr>
        <w:t xml:space="preserve"> García y Asociados</w:t>
      </w:r>
    </w:p>
    <w:p w14:paraId="438B06E1" w14:textId="77777777" w:rsidR="00631842" w:rsidRPr="00EF48E5" w:rsidRDefault="00631842" w:rsidP="00631842">
      <w:pPr>
        <w:rPr>
          <w:lang w:val="es-419"/>
        </w:rPr>
      </w:pPr>
      <w:r w:rsidRPr="00EF48E5">
        <w:rPr>
          <w:lang w:val="es-419"/>
        </w:rPr>
        <w:t xml:space="preserve">Sociedad Ornitológica de la </w:t>
      </w:r>
      <w:proofErr w:type="spellStart"/>
      <w:r w:rsidRPr="00EF48E5">
        <w:rPr>
          <w:lang w:val="es-419"/>
        </w:rPr>
        <w:t>Hispaniola</w:t>
      </w:r>
      <w:proofErr w:type="spellEnd"/>
    </w:p>
    <w:p w14:paraId="4793BEFA" w14:textId="77777777" w:rsidR="00631842" w:rsidRPr="00EF48E5" w:rsidRDefault="00631842" w:rsidP="00631842">
      <w:pPr>
        <w:rPr>
          <w:lang w:val="es-419"/>
        </w:rPr>
      </w:pPr>
      <w:r w:rsidRPr="00EF48E5">
        <w:rPr>
          <w:lang w:val="es-419"/>
        </w:rPr>
        <w:t>Sociedad Audubon Haití (SAH)</w:t>
      </w:r>
    </w:p>
    <w:p w14:paraId="0A12637A" w14:textId="5A248101" w:rsidR="00631842" w:rsidRPr="00EF48E5" w:rsidRDefault="004544C1" w:rsidP="00631842">
      <w:pPr>
        <w:rPr>
          <w:lang w:val="es-419"/>
        </w:rPr>
      </w:pPr>
      <w:r w:rsidRPr="00EF48E5">
        <w:rPr>
          <w:lang w:val="es-419"/>
        </w:rPr>
        <w:t xml:space="preserve">Comisión </w:t>
      </w:r>
      <w:r>
        <w:rPr>
          <w:lang w:val="es-419"/>
        </w:rPr>
        <w:t xml:space="preserve">de </w:t>
      </w:r>
      <w:r w:rsidR="00631842" w:rsidRPr="00EF48E5">
        <w:rPr>
          <w:lang w:val="es-419"/>
        </w:rPr>
        <w:t>Medio Ambiente</w:t>
      </w:r>
      <w:r w:rsidR="006457CD">
        <w:rPr>
          <w:lang w:val="es-419"/>
        </w:rPr>
        <w:t>,</w:t>
      </w:r>
      <w:r w:rsidR="00631842" w:rsidRPr="00EF48E5">
        <w:rPr>
          <w:lang w:val="es-419"/>
        </w:rPr>
        <w:t xml:space="preserve"> Ciencia y Tecnología</w:t>
      </w:r>
      <w:r>
        <w:rPr>
          <w:lang w:val="es-419"/>
        </w:rPr>
        <w:t xml:space="preserve"> de</w:t>
      </w:r>
      <w:r w:rsidR="00631842" w:rsidRPr="00EF48E5">
        <w:rPr>
          <w:lang w:val="es-419"/>
        </w:rPr>
        <w:t xml:space="preserve"> </w:t>
      </w:r>
      <w:r w:rsidRPr="00EF48E5">
        <w:rPr>
          <w:lang w:val="es-419"/>
        </w:rPr>
        <w:t>Bahamas</w:t>
      </w:r>
    </w:p>
    <w:p w14:paraId="7E7EECF3" w14:textId="58C1C3AF" w:rsidR="00631842" w:rsidRPr="00EF48E5" w:rsidRDefault="004544C1" w:rsidP="00631842">
      <w:pPr>
        <w:rPr>
          <w:lang w:val="es-419"/>
        </w:rPr>
      </w:pPr>
      <w:proofErr w:type="spellStart"/>
      <w:r>
        <w:rPr>
          <w:lang w:val="es-419"/>
        </w:rPr>
        <w:t>The</w:t>
      </w:r>
      <w:proofErr w:type="spellEnd"/>
      <w:r>
        <w:rPr>
          <w:lang w:val="es-419"/>
        </w:rPr>
        <w:t xml:space="preserve"> </w:t>
      </w:r>
      <w:proofErr w:type="spellStart"/>
      <w:r>
        <w:rPr>
          <w:lang w:val="es-419"/>
        </w:rPr>
        <w:t>Nature</w:t>
      </w:r>
      <w:proofErr w:type="spellEnd"/>
      <w:r>
        <w:rPr>
          <w:lang w:val="es-419"/>
        </w:rPr>
        <w:t xml:space="preserve"> </w:t>
      </w:r>
      <w:proofErr w:type="spellStart"/>
      <w:r>
        <w:rPr>
          <w:lang w:val="es-419"/>
        </w:rPr>
        <w:t>Conservancy</w:t>
      </w:r>
      <w:proofErr w:type="spellEnd"/>
      <w:r>
        <w:rPr>
          <w:lang w:val="es-419"/>
        </w:rPr>
        <w:t xml:space="preserve"> </w:t>
      </w:r>
      <w:r w:rsidR="00631842" w:rsidRPr="00EF48E5">
        <w:rPr>
          <w:lang w:val="es-419"/>
        </w:rPr>
        <w:t>(TNC)</w:t>
      </w:r>
    </w:p>
    <w:p w14:paraId="665517DE" w14:textId="3B519FBF" w:rsidR="00631842" w:rsidRPr="004544C1" w:rsidRDefault="004544C1" w:rsidP="00631842">
      <w:pPr>
        <w:rPr>
          <w:lang w:val="es-419"/>
        </w:rPr>
      </w:pPr>
      <w:r w:rsidRPr="004544C1">
        <w:rPr>
          <w:lang w:val="es-419"/>
        </w:rPr>
        <w:t xml:space="preserve">Programa de las Naciones Unidas para el Desarrollo </w:t>
      </w:r>
      <w:r w:rsidR="00631842" w:rsidRPr="004544C1">
        <w:rPr>
          <w:lang w:val="es-419"/>
        </w:rPr>
        <w:t>– Haití</w:t>
      </w:r>
    </w:p>
    <w:p w14:paraId="69818792" w14:textId="18DFB1DE" w:rsidR="00631842" w:rsidRPr="00EF48E5" w:rsidRDefault="004544C1" w:rsidP="00631842">
      <w:pPr>
        <w:rPr>
          <w:lang w:val="es-419"/>
        </w:rPr>
      </w:pPr>
      <w:r w:rsidRPr="004544C1">
        <w:rPr>
          <w:lang w:val="es-419"/>
        </w:rPr>
        <w:t xml:space="preserve">Programa de las Naciones Unidas para el Desarrollo </w:t>
      </w:r>
      <w:r w:rsidR="00631842" w:rsidRPr="004544C1">
        <w:rPr>
          <w:lang w:val="es-419"/>
        </w:rPr>
        <w:t>– Jamaica</w:t>
      </w:r>
    </w:p>
    <w:p w14:paraId="293AE9C5" w14:textId="77777777" w:rsidR="00631842" w:rsidRPr="00EF48E5" w:rsidRDefault="00631842" w:rsidP="00631842">
      <w:pPr>
        <w:rPr>
          <w:lang w:val="es-419"/>
        </w:rPr>
      </w:pPr>
      <w:r w:rsidRPr="00EF48E5">
        <w:rPr>
          <w:lang w:val="es-419"/>
        </w:rPr>
        <w:t>Programa de las Naciones Unidas para el Desarrollo Barbados y la OECO</w:t>
      </w:r>
    </w:p>
    <w:p w14:paraId="5426FC76" w14:textId="4213CA14" w:rsidR="00631842" w:rsidRPr="00EF48E5" w:rsidRDefault="004544C1" w:rsidP="00631842">
      <w:pPr>
        <w:rPr>
          <w:lang w:val="es-419"/>
        </w:rPr>
      </w:pPr>
      <w:r w:rsidRPr="00EF48E5">
        <w:rPr>
          <w:lang w:val="es-419"/>
        </w:rPr>
        <w:t xml:space="preserve">Programa de las Naciones Unidas para el </w:t>
      </w:r>
      <w:r w:rsidR="00631842" w:rsidRPr="00EF48E5">
        <w:rPr>
          <w:lang w:val="es-419"/>
        </w:rPr>
        <w:t>Medio Ambiente</w:t>
      </w:r>
    </w:p>
    <w:p w14:paraId="76B02929" w14:textId="77777777" w:rsidR="00631842" w:rsidRPr="00EF48E5" w:rsidRDefault="00631842" w:rsidP="00631842">
      <w:pPr>
        <w:rPr>
          <w:lang w:val="es-419"/>
        </w:rPr>
      </w:pPr>
      <w:r w:rsidRPr="00EF48E5">
        <w:rPr>
          <w:lang w:val="es-419"/>
        </w:rPr>
        <w:t>Agencia de los Estados Unidos para el Desarrollo Internacional (USAID)</w:t>
      </w:r>
    </w:p>
    <w:p w14:paraId="5F27F21E" w14:textId="77777777" w:rsidR="00631842" w:rsidRPr="00EF48E5" w:rsidRDefault="00631842" w:rsidP="00631842">
      <w:pPr>
        <w:rPr>
          <w:lang w:val="es-419"/>
        </w:rPr>
      </w:pPr>
      <w:r w:rsidRPr="00EF48E5">
        <w:rPr>
          <w:lang w:val="es-419"/>
        </w:rPr>
        <w:t>Universidad Nacional Pedro Henríquez Ureña (UNPHU)</w:t>
      </w:r>
    </w:p>
    <w:p w14:paraId="1A805C37" w14:textId="77777777" w:rsidR="00631842" w:rsidRPr="00EF48E5" w:rsidRDefault="00631842" w:rsidP="00631842">
      <w:pPr>
        <w:rPr>
          <w:lang w:val="es-419"/>
        </w:rPr>
      </w:pPr>
      <w:r w:rsidRPr="00EF48E5">
        <w:rPr>
          <w:lang w:val="es-419"/>
        </w:rPr>
        <w:t>Universidad de Florida</w:t>
      </w:r>
    </w:p>
    <w:p w14:paraId="495E725C" w14:textId="77777777" w:rsidR="00631842" w:rsidRPr="00EF48E5" w:rsidRDefault="00631842" w:rsidP="00631842">
      <w:pPr>
        <w:rPr>
          <w:lang w:val="es-419"/>
        </w:rPr>
      </w:pPr>
      <w:r w:rsidRPr="00EF48E5">
        <w:rPr>
          <w:lang w:val="es-419"/>
        </w:rPr>
        <w:t>Corporación de Desarrollo Urbano (UDC)</w:t>
      </w:r>
    </w:p>
    <w:p w14:paraId="47561F18" w14:textId="77777777" w:rsidR="00631842" w:rsidRPr="00EF48E5" w:rsidRDefault="00631842" w:rsidP="00631842">
      <w:pPr>
        <w:rPr>
          <w:lang w:val="es-419"/>
        </w:rPr>
      </w:pPr>
      <w:r w:rsidRPr="00EF48E5">
        <w:rPr>
          <w:lang w:val="es-419"/>
        </w:rPr>
        <w:t>Centro de Investigación de Windsor (WRC)</w:t>
      </w:r>
    </w:p>
    <w:p w14:paraId="4DF3B63B" w14:textId="77777777" w:rsidR="00631842" w:rsidRPr="00EF48E5" w:rsidRDefault="00631842" w:rsidP="00631842">
      <w:pPr>
        <w:rPr>
          <w:lang w:val="es-419"/>
        </w:rPr>
      </w:pPr>
      <w:r w:rsidRPr="00EF48E5">
        <w:rPr>
          <w:lang w:val="es-419"/>
        </w:rPr>
        <w:t>Grupo del Banco Mundial</w:t>
      </w:r>
    </w:p>
    <w:p w14:paraId="5F8D75A8" w14:textId="77777777" w:rsidR="00631842" w:rsidRPr="00EF48E5" w:rsidRDefault="00631842" w:rsidP="008A2777">
      <w:pPr>
        <w:pStyle w:val="ListParagraph"/>
        <w:autoSpaceDE w:val="0"/>
        <w:autoSpaceDN w:val="0"/>
        <w:adjustRightInd w:val="0"/>
        <w:ind w:left="360"/>
        <w:rPr>
          <w:lang w:val="es-419"/>
        </w:rPr>
      </w:pPr>
    </w:p>
    <w:p w14:paraId="559A595E" w14:textId="77777777" w:rsidR="008A2777" w:rsidRPr="00EF48E5" w:rsidRDefault="008A2777" w:rsidP="008A2777">
      <w:pPr>
        <w:rPr>
          <w:lang w:val="es-419"/>
        </w:rPr>
      </w:pPr>
    </w:p>
    <w:p w14:paraId="7F25F6F5" w14:textId="3039B034" w:rsidR="005F2A0B" w:rsidRPr="00EF48E5" w:rsidRDefault="005F2A0B">
      <w:pPr>
        <w:spacing w:line="259" w:lineRule="auto"/>
        <w:rPr>
          <w:lang w:val="es-419"/>
        </w:rPr>
      </w:pPr>
      <w:r w:rsidRPr="00EF48E5">
        <w:rPr>
          <w:lang w:val="es-419"/>
        </w:rPr>
        <w:br w:type="page"/>
      </w:r>
    </w:p>
    <w:p w14:paraId="44C3238D" w14:textId="68209109" w:rsidR="005F2A0B" w:rsidRPr="00EF48E5" w:rsidRDefault="005F2A0B" w:rsidP="005F2A0B">
      <w:pPr>
        <w:pStyle w:val="Heading1"/>
        <w:spacing w:after="160"/>
        <w:rPr>
          <w:lang w:val="es-419"/>
        </w:rPr>
      </w:pPr>
      <w:bookmarkStart w:id="37" w:name="_Toc100399004"/>
      <w:r w:rsidRPr="00EF48E5">
        <w:rPr>
          <w:lang w:val="es-419"/>
        </w:rPr>
        <w:lastRenderedPageBreak/>
        <w:t>Anexo 2: Plantilla del plan de participación de las partes interesadas</w:t>
      </w:r>
      <w:bookmarkEnd w:id="37"/>
    </w:p>
    <w:p w14:paraId="0D37AB52" w14:textId="77777777" w:rsidR="005F2A0B" w:rsidRPr="00EF48E5" w:rsidRDefault="005F2A0B" w:rsidP="005F2A0B">
      <w:pPr>
        <w:jc w:val="right"/>
        <w:rPr>
          <w:b/>
          <w:bCs/>
          <w:lang w:val="es-419"/>
        </w:rPr>
      </w:pPr>
      <w:r w:rsidRPr="00EF48E5">
        <w:rPr>
          <w:noProof/>
          <w:lang w:val="es-419"/>
        </w:rPr>
        <w:drawing>
          <wp:inline distT="0" distB="0" distL="0" distR="0" wp14:anchorId="0FAB2885" wp14:editId="343E4178">
            <wp:extent cx="2202492" cy="731105"/>
            <wp:effectExtent l="0" t="0" r="7620" b="0"/>
            <wp:docPr id="2"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2202492" cy="731105"/>
                    </a:xfrm>
                    <a:prstGeom prst="rect">
                      <a:avLst/>
                    </a:prstGeom>
                  </pic:spPr>
                </pic:pic>
              </a:graphicData>
            </a:graphic>
          </wp:inline>
        </w:drawing>
      </w:r>
    </w:p>
    <w:p w14:paraId="2BB42D20" w14:textId="77777777" w:rsidR="005F2A0B" w:rsidRPr="00EF48E5" w:rsidRDefault="005F2A0B" w:rsidP="005F2A0B">
      <w:pPr>
        <w:jc w:val="center"/>
        <w:rPr>
          <w:rFonts w:ascii="Times New Roman" w:hAnsi="Times New Roman"/>
          <w:b/>
          <w:bCs/>
          <w:sz w:val="28"/>
          <w:szCs w:val="28"/>
          <w:lang w:val="es-419"/>
        </w:rPr>
      </w:pPr>
    </w:p>
    <w:p w14:paraId="3A33F147" w14:textId="77777777" w:rsidR="005F2A0B" w:rsidRPr="00EF48E5" w:rsidRDefault="005F2A0B" w:rsidP="005F2A0B">
      <w:pPr>
        <w:jc w:val="center"/>
        <w:rPr>
          <w:rFonts w:cstheme="minorHAnsi"/>
          <w:b/>
          <w:bCs/>
          <w:sz w:val="28"/>
          <w:szCs w:val="28"/>
          <w:lang w:val="es-419"/>
        </w:rPr>
      </w:pPr>
    </w:p>
    <w:p w14:paraId="75BC03A9" w14:textId="77777777" w:rsidR="005F2A0B" w:rsidRPr="00EF48E5" w:rsidRDefault="005F2A0B" w:rsidP="005F2A0B">
      <w:pPr>
        <w:spacing w:after="0"/>
        <w:jc w:val="center"/>
        <w:rPr>
          <w:rFonts w:cstheme="minorHAnsi"/>
          <w:b/>
          <w:bCs/>
          <w:sz w:val="28"/>
          <w:szCs w:val="28"/>
          <w:lang w:val="es-419"/>
        </w:rPr>
      </w:pPr>
    </w:p>
    <w:p w14:paraId="48E5668D" w14:textId="77777777" w:rsidR="005F2A0B" w:rsidRPr="00EF48E5" w:rsidRDefault="005F2A0B" w:rsidP="005F2A0B">
      <w:pPr>
        <w:spacing w:after="0"/>
        <w:jc w:val="center"/>
        <w:rPr>
          <w:rFonts w:cstheme="minorHAnsi"/>
          <w:b/>
          <w:bCs/>
          <w:sz w:val="28"/>
          <w:szCs w:val="28"/>
          <w:lang w:val="es-419"/>
        </w:rPr>
      </w:pPr>
    </w:p>
    <w:p w14:paraId="239C0851" w14:textId="77777777" w:rsidR="005F2A0B" w:rsidRPr="00EF48E5" w:rsidRDefault="005F2A0B" w:rsidP="005F2A0B">
      <w:pPr>
        <w:spacing w:after="0"/>
        <w:jc w:val="center"/>
        <w:rPr>
          <w:rFonts w:cstheme="minorHAnsi"/>
          <w:b/>
          <w:bCs/>
          <w:sz w:val="28"/>
          <w:szCs w:val="28"/>
          <w:lang w:val="es-419"/>
        </w:rPr>
      </w:pPr>
      <w:r w:rsidRPr="00EF48E5">
        <w:rPr>
          <w:rFonts w:cstheme="minorHAnsi"/>
          <w:b/>
          <w:bCs/>
          <w:sz w:val="28"/>
          <w:szCs w:val="28"/>
          <w:lang w:val="es-419"/>
        </w:rPr>
        <w:t>Plan de participación de las partes interesadas</w:t>
      </w:r>
    </w:p>
    <w:p w14:paraId="33F7BDC7" w14:textId="77777777" w:rsidR="005F2A0B" w:rsidRPr="00EF48E5" w:rsidRDefault="005F2A0B" w:rsidP="005F2A0B">
      <w:pPr>
        <w:spacing w:after="0"/>
        <w:jc w:val="center"/>
        <w:rPr>
          <w:rFonts w:cstheme="minorHAnsi"/>
          <w:b/>
          <w:bCs/>
          <w:lang w:val="es-419"/>
        </w:rPr>
      </w:pPr>
    </w:p>
    <w:p w14:paraId="42385788" w14:textId="77777777" w:rsidR="005F2A0B" w:rsidRPr="00EF48E5" w:rsidRDefault="005F2A0B" w:rsidP="005F2A0B">
      <w:pPr>
        <w:spacing w:after="0"/>
        <w:jc w:val="center"/>
        <w:rPr>
          <w:rFonts w:cstheme="minorHAnsi"/>
          <w:b/>
          <w:bCs/>
          <w:lang w:val="es-419"/>
        </w:rPr>
      </w:pPr>
      <w:r w:rsidRPr="00EF48E5">
        <w:rPr>
          <w:rFonts w:cstheme="minorHAnsi"/>
          <w:b/>
          <w:bCs/>
          <w:lang w:val="es-419"/>
        </w:rPr>
        <w:t>Fecha</w:t>
      </w:r>
    </w:p>
    <w:p w14:paraId="0682C6E4" w14:textId="77777777" w:rsidR="005F2A0B" w:rsidRPr="00EF48E5" w:rsidRDefault="005F2A0B" w:rsidP="005F2A0B">
      <w:pPr>
        <w:spacing w:after="0"/>
        <w:jc w:val="center"/>
        <w:rPr>
          <w:rFonts w:cstheme="minorHAnsi"/>
          <w:b/>
          <w:bCs/>
          <w:lang w:val="es-419"/>
        </w:rPr>
      </w:pPr>
    </w:p>
    <w:p w14:paraId="6214BB12" w14:textId="1979F164" w:rsidR="005F2A0B" w:rsidRPr="00EF48E5" w:rsidRDefault="004544C1" w:rsidP="005F2A0B">
      <w:pPr>
        <w:spacing w:after="0"/>
        <w:jc w:val="center"/>
        <w:rPr>
          <w:rFonts w:cstheme="minorHAnsi"/>
          <w:b/>
          <w:bCs/>
          <w:lang w:val="es-419"/>
        </w:rPr>
      </w:pPr>
      <w:r>
        <w:rPr>
          <w:rFonts w:cstheme="minorHAnsi"/>
          <w:b/>
          <w:bCs/>
          <w:lang w:val="es-419"/>
        </w:rPr>
        <w:t>Subvención del</w:t>
      </w:r>
      <w:r w:rsidR="005F2A0B" w:rsidRPr="00EF48E5">
        <w:rPr>
          <w:rFonts w:cstheme="minorHAnsi"/>
          <w:b/>
          <w:bCs/>
          <w:lang w:val="es-419"/>
        </w:rPr>
        <w:t xml:space="preserve"> CEPF </w:t>
      </w:r>
      <w:proofErr w:type="spellStart"/>
      <w:r w:rsidR="005F2A0B" w:rsidRPr="00EF48E5">
        <w:rPr>
          <w:rFonts w:cstheme="minorHAnsi"/>
          <w:b/>
          <w:bCs/>
          <w:lang w:val="es-419"/>
        </w:rPr>
        <w:t>xxxxx</w:t>
      </w:r>
      <w:proofErr w:type="spellEnd"/>
    </w:p>
    <w:p w14:paraId="50597BC1" w14:textId="77777777" w:rsidR="005F2A0B" w:rsidRPr="00EF48E5" w:rsidRDefault="005F2A0B" w:rsidP="005F2A0B">
      <w:pPr>
        <w:spacing w:after="0"/>
        <w:jc w:val="center"/>
        <w:rPr>
          <w:rFonts w:cstheme="minorHAnsi"/>
          <w:b/>
          <w:bCs/>
          <w:lang w:val="es-419"/>
        </w:rPr>
      </w:pPr>
    </w:p>
    <w:p w14:paraId="13ED6944" w14:textId="77777777" w:rsidR="005F2A0B" w:rsidRPr="00EF48E5" w:rsidRDefault="005F2A0B" w:rsidP="005F2A0B">
      <w:pPr>
        <w:spacing w:after="0"/>
        <w:jc w:val="center"/>
        <w:rPr>
          <w:rFonts w:cstheme="minorHAnsi"/>
          <w:b/>
          <w:bCs/>
          <w:lang w:val="es-419"/>
        </w:rPr>
      </w:pPr>
      <w:r w:rsidRPr="00EF48E5">
        <w:rPr>
          <w:rFonts w:cstheme="minorHAnsi"/>
          <w:b/>
          <w:bCs/>
          <w:lang w:val="es-419"/>
        </w:rPr>
        <w:t>beneficiario</w:t>
      </w:r>
    </w:p>
    <w:p w14:paraId="15EC1A7D" w14:textId="77777777" w:rsidR="005F2A0B" w:rsidRPr="00EF48E5" w:rsidRDefault="005F2A0B" w:rsidP="005F2A0B">
      <w:pPr>
        <w:spacing w:after="0"/>
        <w:jc w:val="center"/>
        <w:rPr>
          <w:rFonts w:cstheme="minorHAnsi"/>
          <w:b/>
          <w:bCs/>
          <w:lang w:val="es-419"/>
        </w:rPr>
      </w:pPr>
    </w:p>
    <w:p w14:paraId="1DC0FD83" w14:textId="77777777" w:rsidR="005F2A0B" w:rsidRPr="00EF48E5" w:rsidRDefault="005F2A0B" w:rsidP="005F2A0B">
      <w:pPr>
        <w:spacing w:after="0"/>
        <w:jc w:val="center"/>
        <w:rPr>
          <w:rFonts w:cstheme="minorHAnsi"/>
          <w:b/>
          <w:bCs/>
          <w:i/>
          <w:iCs/>
          <w:color w:val="000000"/>
          <w:sz w:val="24"/>
          <w:szCs w:val="24"/>
          <w:lang w:val="es-419"/>
        </w:rPr>
      </w:pPr>
      <w:r w:rsidRPr="00EF48E5">
        <w:rPr>
          <w:rFonts w:cstheme="minorHAnsi"/>
          <w:b/>
          <w:bCs/>
          <w:i/>
          <w:iCs/>
          <w:color w:val="000000"/>
          <w:sz w:val="24"/>
          <w:szCs w:val="24"/>
          <w:lang w:val="es-419"/>
        </w:rPr>
        <w:t>Título del subproyecto</w:t>
      </w:r>
    </w:p>
    <w:p w14:paraId="0FCA44BD" w14:textId="77777777" w:rsidR="005F2A0B" w:rsidRPr="00EF48E5" w:rsidRDefault="005F2A0B" w:rsidP="005F2A0B">
      <w:pPr>
        <w:spacing w:after="0"/>
        <w:jc w:val="center"/>
        <w:rPr>
          <w:rFonts w:cstheme="minorHAnsi"/>
          <w:b/>
          <w:bCs/>
          <w:lang w:val="es-419"/>
        </w:rPr>
      </w:pPr>
    </w:p>
    <w:p w14:paraId="5DBBB856" w14:textId="77777777" w:rsidR="005F2A0B" w:rsidRPr="00EF48E5" w:rsidRDefault="005F2A0B" w:rsidP="005F2A0B">
      <w:pPr>
        <w:spacing w:after="0"/>
        <w:jc w:val="center"/>
        <w:rPr>
          <w:rFonts w:cstheme="minorHAnsi"/>
          <w:b/>
          <w:bCs/>
          <w:lang w:val="es-419"/>
        </w:rPr>
      </w:pPr>
      <w:r w:rsidRPr="00EF48E5">
        <w:rPr>
          <w:rFonts w:cstheme="minorHAnsi"/>
          <w:b/>
          <w:bCs/>
          <w:lang w:val="es-419"/>
        </w:rPr>
        <w:t>Ubicación del subproyecto</w:t>
      </w:r>
    </w:p>
    <w:p w14:paraId="059BA57F" w14:textId="77777777" w:rsidR="005F2A0B" w:rsidRPr="00EF48E5" w:rsidRDefault="005F2A0B" w:rsidP="005F2A0B">
      <w:pPr>
        <w:rPr>
          <w:lang w:val="es-419"/>
        </w:rPr>
      </w:pPr>
    </w:p>
    <w:p w14:paraId="3F289BFB" w14:textId="77777777" w:rsidR="005F2A0B" w:rsidRPr="00EF48E5" w:rsidRDefault="005F2A0B" w:rsidP="005F2A0B">
      <w:pPr>
        <w:rPr>
          <w:lang w:val="es-419"/>
        </w:rPr>
      </w:pPr>
    </w:p>
    <w:p w14:paraId="13F4B16C" w14:textId="77777777" w:rsidR="005F2A0B" w:rsidRPr="00EF48E5" w:rsidRDefault="005F2A0B" w:rsidP="005F2A0B">
      <w:pPr>
        <w:rPr>
          <w:rFonts w:cstheme="minorHAnsi"/>
          <w:b/>
          <w:bCs/>
          <w:iCs/>
          <w:lang w:val="es-419"/>
        </w:rPr>
      </w:pPr>
      <w:r w:rsidRPr="00EF48E5">
        <w:rPr>
          <w:lang w:val="es-419"/>
        </w:rPr>
        <w:br w:type="column"/>
      </w:r>
      <w:r w:rsidRPr="00EF48E5">
        <w:rPr>
          <w:rFonts w:cstheme="minorHAnsi"/>
          <w:b/>
          <w:bCs/>
          <w:iCs/>
          <w:u w:val="single"/>
          <w:lang w:val="es-419"/>
        </w:rPr>
        <w:lastRenderedPageBreak/>
        <w:t>Resumen de la subvención</w:t>
      </w:r>
    </w:p>
    <w:p w14:paraId="2D47296B" w14:textId="77777777" w:rsidR="005F2A0B" w:rsidRPr="00EF48E5" w:rsidRDefault="005F2A0B" w:rsidP="002513C9">
      <w:pPr>
        <w:pStyle w:val="ListParagraph"/>
        <w:numPr>
          <w:ilvl w:val="0"/>
          <w:numId w:val="34"/>
        </w:numPr>
        <w:spacing w:after="0" w:line="259" w:lineRule="auto"/>
        <w:contextualSpacing w:val="0"/>
        <w:rPr>
          <w:rFonts w:cstheme="minorHAnsi"/>
          <w:bCs/>
          <w:iCs/>
          <w:lang w:val="es-419"/>
        </w:rPr>
      </w:pPr>
      <w:r w:rsidRPr="00EF48E5">
        <w:rPr>
          <w:rFonts w:cstheme="minorHAnsi"/>
          <w:bCs/>
          <w:iCs/>
          <w:lang w:val="es-419"/>
        </w:rPr>
        <w:t>Organización del concesionario.</w:t>
      </w:r>
    </w:p>
    <w:p w14:paraId="1E0CB5A8" w14:textId="77777777" w:rsidR="005F2A0B" w:rsidRPr="00EF48E5" w:rsidRDefault="005F2A0B" w:rsidP="002513C9">
      <w:pPr>
        <w:pStyle w:val="ListParagraph"/>
        <w:numPr>
          <w:ilvl w:val="0"/>
          <w:numId w:val="34"/>
        </w:numPr>
        <w:spacing w:after="0" w:line="259" w:lineRule="auto"/>
        <w:contextualSpacing w:val="0"/>
        <w:rPr>
          <w:rFonts w:cstheme="minorHAnsi"/>
          <w:bCs/>
          <w:iCs/>
          <w:lang w:val="es-419"/>
        </w:rPr>
      </w:pPr>
      <w:r w:rsidRPr="00EF48E5">
        <w:rPr>
          <w:rFonts w:cstheme="minorHAnsi"/>
          <w:bCs/>
          <w:iCs/>
          <w:lang w:val="es-419"/>
        </w:rPr>
        <w:t>Título del subproyecto.</w:t>
      </w:r>
    </w:p>
    <w:p w14:paraId="68A1A1F4" w14:textId="52E80A49" w:rsidR="005F2A0B" w:rsidRPr="00EF48E5" w:rsidRDefault="005F2A0B" w:rsidP="002513C9">
      <w:pPr>
        <w:pStyle w:val="ListParagraph"/>
        <w:numPr>
          <w:ilvl w:val="0"/>
          <w:numId w:val="34"/>
        </w:numPr>
        <w:spacing w:after="0" w:line="259" w:lineRule="auto"/>
        <w:contextualSpacing w:val="0"/>
        <w:rPr>
          <w:rFonts w:cstheme="minorHAnsi"/>
          <w:lang w:val="es-419"/>
        </w:rPr>
      </w:pPr>
      <w:r w:rsidRPr="00EF48E5">
        <w:rPr>
          <w:rFonts w:cstheme="minorHAnsi"/>
          <w:bCs/>
          <w:iCs/>
          <w:lang w:val="es-419"/>
        </w:rPr>
        <w:t>Número de concesión</w:t>
      </w:r>
      <w:r w:rsidR="00ED622F">
        <w:rPr>
          <w:rFonts w:cstheme="minorHAnsi"/>
          <w:bCs/>
          <w:iCs/>
          <w:lang w:val="es-419"/>
        </w:rPr>
        <w:t>.</w:t>
      </w:r>
    </w:p>
    <w:p w14:paraId="1BCF0920" w14:textId="77777777" w:rsidR="005F2A0B" w:rsidRPr="00EF48E5" w:rsidRDefault="005F2A0B" w:rsidP="002513C9">
      <w:pPr>
        <w:pStyle w:val="ListParagraph"/>
        <w:numPr>
          <w:ilvl w:val="0"/>
          <w:numId w:val="34"/>
        </w:numPr>
        <w:spacing w:after="0" w:line="259" w:lineRule="auto"/>
        <w:contextualSpacing w:val="0"/>
        <w:rPr>
          <w:rFonts w:cstheme="minorHAnsi"/>
          <w:lang w:val="es-419"/>
        </w:rPr>
      </w:pPr>
      <w:r w:rsidRPr="00EF48E5">
        <w:rPr>
          <w:rFonts w:cstheme="minorHAnsi"/>
          <w:lang w:val="es-419"/>
        </w:rPr>
        <w:t>Monto de la subvención (dólares estadounidenses).</w:t>
      </w:r>
    </w:p>
    <w:p w14:paraId="709DD149" w14:textId="77777777" w:rsidR="005F2A0B" w:rsidRPr="00EF48E5" w:rsidRDefault="005F2A0B" w:rsidP="002513C9">
      <w:pPr>
        <w:pStyle w:val="ListParagraph"/>
        <w:numPr>
          <w:ilvl w:val="0"/>
          <w:numId w:val="34"/>
        </w:numPr>
        <w:spacing w:after="0" w:line="259" w:lineRule="auto"/>
        <w:contextualSpacing w:val="0"/>
        <w:rPr>
          <w:rFonts w:cstheme="minorHAnsi"/>
          <w:lang w:val="es-419"/>
        </w:rPr>
      </w:pPr>
      <w:r w:rsidRPr="00EF48E5">
        <w:rPr>
          <w:rFonts w:cstheme="minorHAnsi"/>
          <w:lang w:val="es-419"/>
        </w:rPr>
        <w:t>Fechas propuestas de concesión.</w:t>
      </w:r>
    </w:p>
    <w:p w14:paraId="7172D45A" w14:textId="77777777" w:rsidR="005F2A0B" w:rsidRPr="00EF48E5" w:rsidRDefault="005F2A0B" w:rsidP="002513C9">
      <w:pPr>
        <w:pStyle w:val="ListParagraph"/>
        <w:numPr>
          <w:ilvl w:val="0"/>
          <w:numId w:val="34"/>
        </w:numPr>
        <w:spacing w:after="0" w:line="259" w:lineRule="auto"/>
        <w:contextualSpacing w:val="0"/>
        <w:rPr>
          <w:rFonts w:cstheme="minorHAnsi"/>
          <w:lang w:val="es-419"/>
        </w:rPr>
      </w:pPr>
      <w:r w:rsidRPr="00EF48E5">
        <w:rPr>
          <w:rFonts w:cstheme="minorHAnsi"/>
          <w:lang w:val="es-419"/>
        </w:rPr>
        <w:t>Países donde se desarrollarán las actividades.</w:t>
      </w:r>
    </w:p>
    <w:p w14:paraId="5D498431" w14:textId="77777777" w:rsidR="005F2A0B" w:rsidRPr="00EF48E5" w:rsidRDefault="005F2A0B" w:rsidP="002513C9">
      <w:pPr>
        <w:pStyle w:val="ListParagraph"/>
        <w:numPr>
          <w:ilvl w:val="0"/>
          <w:numId w:val="34"/>
        </w:numPr>
        <w:spacing w:after="0" w:line="259" w:lineRule="auto"/>
        <w:contextualSpacing w:val="0"/>
        <w:rPr>
          <w:rFonts w:cstheme="minorHAnsi"/>
          <w:lang w:val="es-419"/>
        </w:rPr>
      </w:pPr>
      <w:r w:rsidRPr="00EF48E5">
        <w:rPr>
          <w:rFonts w:cstheme="minorHAnsi"/>
          <w:lang w:val="es-419"/>
        </w:rPr>
        <w:t>Fecha de elaboración de este documento.</w:t>
      </w:r>
    </w:p>
    <w:p w14:paraId="6861439C" w14:textId="77777777" w:rsidR="005F2A0B" w:rsidRPr="00EF48E5" w:rsidRDefault="005F2A0B" w:rsidP="005F2A0B">
      <w:pPr>
        <w:pStyle w:val="ListParagraph"/>
        <w:spacing w:after="0"/>
        <w:ind w:left="360"/>
        <w:contextualSpacing w:val="0"/>
        <w:rPr>
          <w:rFonts w:cstheme="minorHAnsi"/>
          <w:lang w:val="es-419"/>
        </w:rPr>
      </w:pPr>
    </w:p>
    <w:p w14:paraId="766BA284" w14:textId="79307C3B" w:rsidR="005F2A0B" w:rsidRPr="00EF48E5" w:rsidRDefault="005F2A0B" w:rsidP="002513C9">
      <w:pPr>
        <w:pStyle w:val="ListParagraph"/>
        <w:numPr>
          <w:ilvl w:val="0"/>
          <w:numId w:val="35"/>
        </w:numPr>
        <w:spacing w:after="0" w:line="259" w:lineRule="auto"/>
        <w:contextualSpacing w:val="0"/>
        <w:rPr>
          <w:rFonts w:cstheme="minorHAnsi"/>
          <w:lang w:val="es-419"/>
        </w:rPr>
      </w:pPr>
      <w:r w:rsidRPr="00EF48E5">
        <w:rPr>
          <w:rFonts w:cstheme="minorHAnsi"/>
          <w:b/>
          <w:bCs/>
          <w:u w:val="single"/>
          <w:lang w:val="es-419"/>
        </w:rPr>
        <w:t>Introducción</w:t>
      </w:r>
      <w:r w:rsidR="00EA4CD7">
        <w:rPr>
          <w:rFonts w:cstheme="minorHAnsi"/>
          <w:b/>
          <w:bCs/>
          <w:u w:val="single"/>
          <w:lang w:val="es-419"/>
        </w:rPr>
        <w:t>:</w:t>
      </w:r>
      <w:r w:rsidRPr="00EF48E5">
        <w:rPr>
          <w:rFonts w:cstheme="minorHAnsi"/>
          <w:b/>
          <w:bCs/>
          <w:lang w:val="es-419"/>
        </w:rPr>
        <w:t xml:space="preserve"> </w:t>
      </w:r>
      <w:r w:rsidRPr="00EF48E5">
        <w:rPr>
          <w:rFonts w:cstheme="minorHAnsi"/>
          <w:lang w:val="es-419"/>
        </w:rPr>
        <w:t>esta sección describirá brevemente el subproyecto, incluidos los elementos de diseño y los posibles problemas sociales y ambientales. Siempre que sea posible, incluya mapas de los sitios del subproyecto y el área circundante.</w:t>
      </w:r>
    </w:p>
    <w:p w14:paraId="1A46A2E8" w14:textId="77777777" w:rsidR="005F2A0B" w:rsidRPr="00EF48E5" w:rsidRDefault="005F2A0B" w:rsidP="005F2A0B">
      <w:pPr>
        <w:pStyle w:val="ListParagraph"/>
        <w:spacing w:after="0"/>
        <w:ind w:left="360"/>
        <w:contextualSpacing w:val="0"/>
        <w:rPr>
          <w:rFonts w:cstheme="minorHAnsi"/>
          <w:lang w:val="es-419"/>
        </w:rPr>
      </w:pPr>
    </w:p>
    <w:p w14:paraId="22E468FD" w14:textId="23B05797" w:rsidR="005F2A0B" w:rsidRPr="00EF48E5" w:rsidRDefault="005F2A0B" w:rsidP="002513C9">
      <w:pPr>
        <w:pStyle w:val="ListParagraph"/>
        <w:numPr>
          <w:ilvl w:val="0"/>
          <w:numId w:val="35"/>
        </w:numPr>
        <w:spacing w:after="0" w:line="259" w:lineRule="auto"/>
        <w:contextualSpacing w:val="0"/>
        <w:rPr>
          <w:rFonts w:cstheme="minorHAnsi"/>
          <w:lang w:val="es-419"/>
        </w:rPr>
      </w:pPr>
      <w:r w:rsidRPr="00EF48E5">
        <w:rPr>
          <w:rFonts w:cstheme="minorHAnsi"/>
          <w:b/>
          <w:bCs/>
          <w:u w:val="single"/>
          <w:lang w:val="es-419"/>
        </w:rPr>
        <w:t>Resumen de las actividades anteriores de participación de las partes interesadas</w:t>
      </w:r>
      <w:r w:rsidR="00EA4CD7">
        <w:rPr>
          <w:rFonts w:cstheme="minorHAnsi"/>
          <w:b/>
          <w:bCs/>
          <w:u w:val="single"/>
          <w:lang w:val="es-419"/>
        </w:rPr>
        <w:t>:</w:t>
      </w:r>
      <w:r w:rsidRPr="00EF48E5">
        <w:rPr>
          <w:rFonts w:cstheme="minorHAnsi"/>
          <w:b/>
          <w:bCs/>
          <w:lang w:val="es-419"/>
        </w:rPr>
        <w:t xml:space="preserve"> </w:t>
      </w:r>
      <w:r w:rsidRPr="00EF48E5">
        <w:rPr>
          <w:rFonts w:cstheme="minorHAnsi"/>
          <w:lang w:val="es-419"/>
        </w:rPr>
        <w:t>si ha realizado alguna actividad hasta la fecha, incluida la divulgación y/o consulta de información, proporcione los siguientes detalles:</w:t>
      </w:r>
    </w:p>
    <w:p w14:paraId="2F9C690F" w14:textId="77777777" w:rsidR="005F2A0B" w:rsidRPr="00EF48E5" w:rsidRDefault="005F2A0B" w:rsidP="005F2A0B">
      <w:pPr>
        <w:pStyle w:val="ListParagraph"/>
        <w:numPr>
          <w:ilvl w:val="0"/>
          <w:numId w:val="12"/>
        </w:numPr>
        <w:spacing w:after="0" w:line="259" w:lineRule="auto"/>
        <w:rPr>
          <w:rFonts w:cstheme="minorHAnsi"/>
          <w:lang w:val="es-419"/>
        </w:rPr>
      </w:pPr>
      <w:r w:rsidRPr="00EF48E5">
        <w:rPr>
          <w:rFonts w:cstheme="minorHAnsi"/>
          <w:lang w:val="es-419"/>
        </w:rPr>
        <w:t>Tipo de información divulgada, en qué forma (p. ej., oral, folleto, informes, carteles, radio, etc.) y cómo se difundió;</w:t>
      </w:r>
    </w:p>
    <w:p w14:paraId="1E77324D" w14:textId="77777777" w:rsidR="005F2A0B" w:rsidRPr="00EF48E5" w:rsidRDefault="005F2A0B" w:rsidP="005F2A0B">
      <w:pPr>
        <w:pStyle w:val="ListParagraph"/>
        <w:numPr>
          <w:ilvl w:val="0"/>
          <w:numId w:val="12"/>
        </w:numPr>
        <w:spacing w:after="0" w:line="259" w:lineRule="auto"/>
        <w:rPr>
          <w:rFonts w:cstheme="minorHAnsi"/>
          <w:lang w:val="es-419"/>
        </w:rPr>
      </w:pPr>
      <w:r w:rsidRPr="00EF48E5">
        <w:rPr>
          <w:rFonts w:cstheme="minorHAnsi"/>
          <w:lang w:val="es-419"/>
        </w:rPr>
        <w:t>Lugares y fechas de cualquier reunión realizada hasta la fecha;</w:t>
      </w:r>
    </w:p>
    <w:p w14:paraId="5DD1833F" w14:textId="77777777" w:rsidR="005F2A0B" w:rsidRPr="00EF48E5" w:rsidRDefault="005F2A0B" w:rsidP="005F2A0B">
      <w:pPr>
        <w:pStyle w:val="ListParagraph"/>
        <w:numPr>
          <w:ilvl w:val="0"/>
          <w:numId w:val="12"/>
        </w:numPr>
        <w:spacing w:after="0" w:line="259" w:lineRule="auto"/>
        <w:rPr>
          <w:rFonts w:cstheme="minorHAnsi"/>
          <w:lang w:val="es-419"/>
        </w:rPr>
      </w:pPr>
      <w:r w:rsidRPr="00EF48E5">
        <w:rPr>
          <w:rFonts w:cstheme="minorHAnsi"/>
          <w:lang w:val="es-419"/>
        </w:rPr>
        <w:t>Individuos, grupos y/u organizaciones consultadas;</w:t>
      </w:r>
    </w:p>
    <w:p w14:paraId="49A4E878" w14:textId="77777777" w:rsidR="005F2A0B" w:rsidRPr="00EF48E5" w:rsidRDefault="005F2A0B" w:rsidP="005F2A0B">
      <w:pPr>
        <w:pStyle w:val="ListParagraph"/>
        <w:numPr>
          <w:ilvl w:val="0"/>
          <w:numId w:val="12"/>
        </w:numPr>
        <w:spacing w:after="0" w:line="259" w:lineRule="auto"/>
        <w:rPr>
          <w:rFonts w:cstheme="minorHAnsi"/>
          <w:lang w:val="es-419"/>
        </w:rPr>
      </w:pPr>
      <w:r w:rsidRPr="00EF48E5">
        <w:rPr>
          <w:rFonts w:cstheme="minorHAnsi"/>
          <w:lang w:val="es-419"/>
        </w:rPr>
        <w:t>Temas clave discutidos y preocupaciones clave planteadas;</w:t>
      </w:r>
    </w:p>
    <w:p w14:paraId="5677229A" w14:textId="77777777" w:rsidR="005F2A0B" w:rsidRPr="00EF48E5" w:rsidRDefault="005F2A0B" w:rsidP="005F2A0B">
      <w:pPr>
        <w:pStyle w:val="ListParagraph"/>
        <w:numPr>
          <w:ilvl w:val="0"/>
          <w:numId w:val="12"/>
        </w:numPr>
        <w:spacing w:after="0" w:line="259" w:lineRule="auto"/>
        <w:rPr>
          <w:rFonts w:cstheme="minorHAnsi"/>
          <w:lang w:val="es-419"/>
        </w:rPr>
      </w:pPr>
      <w:r w:rsidRPr="00EF48E5">
        <w:rPr>
          <w:rFonts w:cstheme="minorHAnsi"/>
          <w:lang w:val="es-419"/>
        </w:rPr>
        <w:t>la respuesta del concesionario a los problemas planteados, incluidos los compromisos o acciones de seguimiento; y</w:t>
      </w:r>
    </w:p>
    <w:p w14:paraId="33775413" w14:textId="77777777" w:rsidR="005F2A0B" w:rsidRPr="00EF48E5" w:rsidRDefault="005F2A0B" w:rsidP="005F2A0B">
      <w:pPr>
        <w:pStyle w:val="ListParagraph"/>
        <w:numPr>
          <w:ilvl w:val="0"/>
          <w:numId w:val="12"/>
        </w:numPr>
        <w:spacing w:after="0" w:line="259" w:lineRule="auto"/>
        <w:rPr>
          <w:rFonts w:cstheme="minorHAnsi"/>
          <w:lang w:val="es-419"/>
        </w:rPr>
      </w:pPr>
      <w:r w:rsidRPr="00EF48E5">
        <w:rPr>
          <w:rFonts w:cstheme="minorHAnsi"/>
          <w:lang w:val="es-419"/>
        </w:rPr>
        <w:t>Proceso emprendido para documentar estas actividades e informar a las partes interesadas.</w:t>
      </w:r>
    </w:p>
    <w:p w14:paraId="03E1267C" w14:textId="77777777" w:rsidR="005F2A0B" w:rsidRPr="00EF48E5" w:rsidRDefault="005F2A0B" w:rsidP="005F2A0B">
      <w:pPr>
        <w:pStyle w:val="ListParagraph"/>
        <w:spacing w:after="0"/>
        <w:ind w:left="360"/>
        <w:contextualSpacing w:val="0"/>
        <w:rPr>
          <w:rFonts w:cstheme="minorHAnsi"/>
          <w:lang w:val="es-419"/>
        </w:rPr>
      </w:pPr>
    </w:p>
    <w:p w14:paraId="6F8E24C2" w14:textId="54A8FAF4" w:rsidR="005F2A0B" w:rsidRPr="00EF48E5" w:rsidRDefault="005F2A0B" w:rsidP="002513C9">
      <w:pPr>
        <w:pStyle w:val="ListParagraph"/>
        <w:numPr>
          <w:ilvl w:val="0"/>
          <w:numId w:val="35"/>
        </w:numPr>
        <w:spacing w:after="0" w:line="259" w:lineRule="auto"/>
        <w:contextualSpacing w:val="0"/>
        <w:rPr>
          <w:rFonts w:cstheme="minorHAnsi"/>
          <w:lang w:val="es-419"/>
        </w:rPr>
      </w:pPr>
      <w:r w:rsidRPr="00EF48E5">
        <w:rPr>
          <w:rFonts w:cstheme="minorHAnsi"/>
          <w:b/>
          <w:bCs/>
          <w:u w:val="single"/>
          <w:lang w:val="es-419"/>
        </w:rPr>
        <w:t>Partes interesadas del proyecto</w:t>
      </w:r>
      <w:r w:rsidR="00EA4CD7">
        <w:rPr>
          <w:rFonts w:cstheme="minorHAnsi"/>
          <w:b/>
          <w:bCs/>
          <w:u w:val="single"/>
          <w:lang w:val="es-419"/>
        </w:rPr>
        <w:t>:</w:t>
      </w:r>
      <w:r w:rsidRPr="00EF48E5">
        <w:rPr>
          <w:rFonts w:cstheme="minorHAnsi"/>
          <w:b/>
          <w:bCs/>
          <w:lang w:val="es-419"/>
        </w:rPr>
        <w:t xml:space="preserve"> </w:t>
      </w:r>
      <w:r w:rsidRPr="00EF48E5">
        <w:rPr>
          <w:rFonts w:cstheme="minorHAnsi"/>
          <w:lang w:val="es-419"/>
        </w:rPr>
        <w:t>esta sección enumerará los grupos de partes interesadas clave que serán informados y consultados sobre el proyecto. Estos deben incluir personas o grupos que:</w:t>
      </w:r>
    </w:p>
    <w:p w14:paraId="3B250BC8" w14:textId="39F9848B" w:rsidR="005F2A0B" w:rsidRPr="00EF48E5" w:rsidRDefault="005F2A0B" w:rsidP="005F2A0B">
      <w:pPr>
        <w:pStyle w:val="ListParagraph"/>
        <w:numPr>
          <w:ilvl w:val="0"/>
          <w:numId w:val="13"/>
        </w:numPr>
        <w:spacing w:after="0" w:line="259" w:lineRule="auto"/>
        <w:rPr>
          <w:rFonts w:cstheme="minorHAnsi"/>
          <w:lang w:val="es-419"/>
        </w:rPr>
      </w:pPr>
      <w:r w:rsidRPr="00EF48E5">
        <w:rPr>
          <w:rFonts w:cstheme="minorHAnsi"/>
          <w:lang w:val="es-419"/>
        </w:rPr>
        <w:t xml:space="preserve">Están directa o indirectamente afectados por el proyecto (es decir, partes afectadas por el proyecto) o tienen intereses en el proyecto que los determina como partes interesadas (es decir, otras partes interesadas); </w:t>
      </w:r>
      <w:r w:rsidRPr="00EF48E5">
        <w:rPr>
          <w:rFonts w:cstheme="minorHAnsi"/>
          <w:u w:val="single"/>
          <w:lang w:val="es-419"/>
        </w:rPr>
        <w:t>y</w:t>
      </w:r>
    </w:p>
    <w:p w14:paraId="1741C150" w14:textId="77777777" w:rsidR="005F2A0B" w:rsidRPr="00EF48E5" w:rsidRDefault="005F2A0B" w:rsidP="005F2A0B">
      <w:pPr>
        <w:pStyle w:val="ListParagraph"/>
        <w:numPr>
          <w:ilvl w:val="0"/>
          <w:numId w:val="13"/>
        </w:numPr>
        <w:spacing w:after="0" w:line="259" w:lineRule="auto"/>
        <w:rPr>
          <w:rFonts w:cstheme="minorHAnsi"/>
          <w:lang w:val="es-419"/>
        </w:rPr>
      </w:pPr>
      <w:r w:rsidRPr="00EF48E5">
        <w:rPr>
          <w:rFonts w:cstheme="minorHAnsi"/>
          <w:lang w:val="es-419"/>
        </w:rPr>
        <w:t>Tener el potencial de influir en los resultados del proyecto.</w:t>
      </w:r>
    </w:p>
    <w:p w14:paraId="50A1E2BE" w14:textId="77777777" w:rsidR="005F2A0B" w:rsidRPr="00EF48E5" w:rsidRDefault="005F2A0B" w:rsidP="005F2A0B">
      <w:pPr>
        <w:spacing w:after="0"/>
        <w:ind w:left="360"/>
        <w:rPr>
          <w:rFonts w:cstheme="minorHAnsi"/>
          <w:lang w:val="es-419"/>
        </w:rPr>
      </w:pPr>
      <w:r w:rsidRPr="00EF48E5">
        <w:rPr>
          <w:rFonts w:cstheme="minorHAnsi"/>
          <w:lang w:val="es-419"/>
        </w:rPr>
        <w:t>Los grupos de partes interesadas clave pueden incluir comunidades afectadas, organizaciones no gubernamentales, autoridades locales y nacionales y actores del sector privado. También pueden incluir políticos, empresas, sindicatos, académicos, grupos religiosos, agencias nacionales del sector público ambiental y social y agencias de medios.</w:t>
      </w:r>
    </w:p>
    <w:p w14:paraId="6D847434" w14:textId="77777777" w:rsidR="005F2A0B" w:rsidRPr="00EF48E5" w:rsidRDefault="005F2A0B" w:rsidP="005F2A0B">
      <w:pPr>
        <w:pStyle w:val="ListParagraph"/>
        <w:spacing w:after="0"/>
        <w:ind w:left="360"/>
        <w:contextualSpacing w:val="0"/>
        <w:rPr>
          <w:rFonts w:cstheme="minorHAnsi"/>
          <w:lang w:val="es-419"/>
        </w:rPr>
      </w:pPr>
    </w:p>
    <w:p w14:paraId="0D6ADF49" w14:textId="13FB4A9B" w:rsidR="005F2A0B" w:rsidRPr="00EF48E5" w:rsidRDefault="005F2A0B" w:rsidP="002513C9">
      <w:pPr>
        <w:pStyle w:val="ListParagraph"/>
        <w:numPr>
          <w:ilvl w:val="0"/>
          <w:numId w:val="35"/>
        </w:numPr>
        <w:spacing w:after="0" w:line="259" w:lineRule="auto"/>
        <w:contextualSpacing w:val="0"/>
        <w:rPr>
          <w:rFonts w:cstheme="minorHAnsi"/>
          <w:lang w:val="es-419"/>
        </w:rPr>
      </w:pPr>
      <w:r w:rsidRPr="00EF48E5">
        <w:rPr>
          <w:rFonts w:cstheme="minorHAnsi"/>
          <w:b/>
          <w:bCs/>
          <w:u w:val="single"/>
          <w:lang w:val="es-419"/>
        </w:rPr>
        <w:t>Programa de participación de las partes interesadas</w:t>
      </w:r>
      <w:r w:rsidR="00EA4CD7">
        <w:rPr>
          <w:rFonts w:cstheme="minorHAnsi"/>
          <w:b/>
          <w:bCs/>
          <w:u w:val="single"/>
          <w:lang w:val="es-419"/>
        </w:rPr>
        <w:t>:</w:t>
      </w:r>
      <w:r w:rsidRPr="00EF48E5">
        <w:rPr>
          <w:rFonts w:cstheme="minorHAnsi"/>
          <w:b/>
          <w:bCs/>
          <w:lang w:val="es-419"/>
        </w:rPr>
        <w:t xml:space="preserve"> </w:t>
      </w:r>
      <w:r w:rsidRPr="00EF48E5">
        <w:rPr>
          <w:rFonts w:cstheme="minorHAnsi"/>
          <w:lang w:val="es-419"/>
        </w:rPr>
        <w:t>esta sección resumirá el propósito y los objetivos del programa de participación de las partes interesadas. Describirá brevemente qué información se divulgará, en qué formatos y los tipos de métodos que se utilizarán para comunicar esta información a cada uno de los grupos identificados de partes interesadas. Los métodos utilizados pueden variar según el público objetivo, por ejemplo:</w:t>
      </w:r>
    </w:p>
    <w:p w14:paraId="5804B8AD" w14:textId="77777777" w:rsidR="005F2A0B" w:rsidRPr="00EF48E5" w:rsidRDefault="005F2A0B" w:rsidP="005F2A0B">
      <w:pPr>
        <w:pStyle w:val="ListParagraph"/>
        <w:numPr>
          <w:ilvl w:val="0"/>
          <w:numId w:val="10"/>
        </w:numPr>
        <w:spacing w:after="0" w:line="259" w:lineRule="auto"/>
        <w:rPr>
          <w:rFonts w:cstheme="minorHAnsi"/>
          <w:lang w:val="es-419"/>
        </w:rPr>
      </w:pPr>
      <w:r w:rsidRPr="00EF48E5">
        <w:rPr>
          <w:rFonts w:cstheme="minorHAnsi"/>
          <w:lang w:val="es-419"/>
        </w:rPr>
        <w:t>Periódicos, carteles, radio, televisión;</w:t>
      </w:r>
    </w:p>
    <w:p w14:paraId="482DB7CA" w14:textId="77777777" w:rsidR="005F2A0B" w:rsidRPr="00EF48E5" w:rsidRDefault="005F2A0B" w:rsidP="005F2A0B">
      <w:pPr>
        <w:pStyle w:val="ListParagraph"/>
        <w:numPr>
          <w:ilvl w:val="0"/>
          <w:numId w:val="10"/>
        </w:numPr>
        <w:spacing w:after="0" w:line="259" w:lineRule="auto"/>
        <w:rPr>
          <w:rFonts w:cstheme="minorHAnsi"/>
          <w:lang w:val="es-419"/>
        </w:rPr>
      </w:pPr>
      <w:r w:rsidRPr="00EF48E5">
        <w:rPr>
          <w:rFonts w:cstheme="minorHAnsi"/>
          <w:lang w:val="es-419"/>
        </w:rPr>
        <w:t>Centros de información y exposiciones u otras presentaciones visuales; y</w:t>
      </w:r>
    </w:p>
    <w:p w14:paraId="1CF08C4A" w14:textId="77777777" w:rsidR="005F2A0B" w:rsidRPr="00EF48E5" w:rsidRDefault="005F2A0B" w:rsidP="005F2A0B">
      <w:pPr>
        <w:pStyle w:val="ListParagraph"/>
        <w:numPr>
          <w:ilvl w:val="0"/>
          <w:numId w:val="10"/>
        </w:numPr>
        <w:spacing w:after="0" w:line="259" w:lineRule="auto"/>
        <w:rPr>
          <w:rFonts w:cstheme="minorHAnsi"/>
          <w:lang w:val="es-419"/>
        </w:rPr>
      </w:pPr>
      <w:r w:rsidRPr="00EF48E5">
        <w:rPr>
          <w:rFonts w:cstheme="minorHAnsi"/>
          <w:lang w:val="es-419"/>
        </w:rPr>
        <w:t>Folletos, trípticos, carteles, documentos de síntesis no técnicos e informes.</w:t>
      </w:r>
    </w:p>
    <w:p w14:paraId="5342A66F" w14:textId="77777777" w:rsidR="005F2A0B" w:rsidRPr="00EF48E5" w:rsidRDefault="005F2A0B" w:rsidP="005F2A0B">
      <w:pPr>
        <w:pStyle w:val="ListParagraph"/>
        <w:spacing w:after="0"/>
        <w:ind w:left="360"/>
        <w:contextualSpacing w:val="0"/>
        <w:rPr>
          <w:rFonts w:cstheme="minorHAnsi"/>
          <w:lang w:val="es-419"/>
        </w:rPr>
      </w:pPr>
    </w:p>
    <w:p w14:paraId="3EF7C8F7" w14:textId="381026CC" w:rsidR="005F2A0B" w:rsidRPr="00EF48E5" w:rsidRDefault="005F2A0B" w:rsidP="002513C9">
      <w:pPr>
        <w:pStyle w:val="ListParagraph"/>
        <w:numPr>
          <w:ilvl w:val="0"/>
          <w:numId w:val="35"/>
        </w:numPr>
        <w:spacing w:after="0" w:line="259" w:lineRule="auto"/>
        <w:contextualSpacing w:val="0"/>
        <w:rPr>
          <w:rFonts w:cstheme="minorHAnsi"/>
          <w:lang w:val="es-419"/>
        </w:rPr>
      </w:pPr>
      <w:r w:rsidRPr="00EF48E5">
        <w:rPr>
          <w:rFonts w:cstheme="minorHAnsi"/>
          <w:b/>
          <w:bCs/>
          <w:u w:val="single"/>
          <w:lang w:val="es-419"/>
        </w:rPr>
        <w:t>Métodos de consulta</w:t>
      </w:r>
      <w:r w:rsidR="00EA4CD7">
        <w:rPr>
          <w:rFonts w:cstheme="minorHAnsi"/>
          <w:b/>
          <w:bCs/>
          <w:u w:val="single"/>
          <w:lang w:val="es-419"/>
        </w:rPr>
        <w:t>:</w:t>
      </w:r>
      <w:r w:rsidRPr="00EF48E5">
        <w:rPr>
          <w:rFonts w:cstheme="minorHAnsi"/>
          <w:b/>
          <w:bCs/>
          <w:lang w:val="es-419"/>
        </w:rPr>
        <w:t xml:space="preserve"> </w:t>
      </w:r>
      <w:r w:rsidRPr="00EF48E5">
        <w:rPr>
          <w:rFonts w:cstheme="minorHAnsi"/>
          <w:lang w:val="es-419"/>
        </w:rPr>
        <w:t>esta sección describirá los métodos que se utilizarán para consultar con cada uno de los grupos de partes interesadas identificados en la Sección 10. Los métodos utilizados pueden variar según el público objetivo, por ejemplo:</w:t>
      </w:r>
    </w:p>
    <w:p w14:paraId="42E58100" w14:textId="77777777" w:rsidR="005F2A0B" w:rsidRPr="00EF48E5" w:rsidRDefault="005F2A0B" w:rsidP="005F2A0B">
      <w:pPr>
        <w:pStyle w:val="ListParagraph"/>
        <w:numPr>
          <w:ilvl w:val="0"/>
          <w:numId w:val="11"/>
        </w:numPr>
        <w:spacing w:after="0" w:line="259" w:lineRule="auto"/>
        <w:rPr>
          <w:rFonts w:cstheme="minorHAnsi"/>
          <w:lang w:val="es-419"/>
        </w:rPr>
      </w:pPr>
      <w:r w:rsidRPr="00EF48E5">
        <w:rPr>
          <w:rFonts w:cstheme="minorHAnsi"/>
          <w:lang w:val="es-419"/>
        </w:rPr>
        <w:t>Entrevistas con representantes de las partes interesadas e informantes clave;</w:t>
      </w:r>
    </w:p>
    <w:p w14:paraId="7992AB99" w14:textId="77777777" w:rsidR="005F2A0B" w:rsidRPr="00EF48E5" w:rsidRDefault="005F2A0B" w:rsidP="005F2A0B">
      <w:pPr>
        <w:pStyle w:val="ListParagraph"/>
        <w:numPr>
          <w:ilvl w:val="0"/>
          <w:numId w:val="11"/>
        </w:numPr>
        <w:spacing w:after="0" w:line="259" w:lineRule="auto"/>
        <w:rPr>
          <w:rFonts w:cstheme="minorHAnsi"/>
          <w:lang w:val="es-419"/>
        </w:rPr>
      </w:pPr>
      <w:r w:rsidRPr="00EF48E5">
        <w:rPr>
          <w:rFonts w:cstheme="minorHAnsi"/>
          <w:lang w:val="es-419"/>
        </w:rPr>
        <w:t>Encuestas, sondeos y cuestionarios;</w:t>
      </w:r>
    </w:p>
    <w:p w14:paraId="0ACDFB2E" w14:textId="77777777" w:rsidR="005F2A0B" w:rsidRPr="00EF48E5" w:rsidRDefault="005F2A0B" w:rsidP="005F2A0B">
      <w:pPr>
        <w:pStyle w:val="ListParagraph"/>
        <w:numPr>
          <w:ilvl w:val="0"/>
          <w:numId w:val="11"/>
        </w:numPr>
        <w:spacing w:after="0" w:line="259" w:lineRule="auto"/>
        <w:rPr>
          <w:rFonts w:cstheme="minorHAnsi"/>
          <w:lang w:val="es-419"/>
        </w:rPr>
      </w:pPr>
      <w:r w:rsidRPr="00EF48E5">
        <w:rPr>
          <w:rFonts w:cstheme="minorHAnsi"/>
          <w:lang w:val="es-419"/>
        </w:rPr>
        <w:t>Reuniones públicas, talleres y/o grupos focales con un grupo específico;</w:t>
      </w:r>
    </w:p>
    <w:p w14:paraId="1B29CB16" w14:textId="2E9A8280" w:rsidR="005F2A0B" w:rsidRPr="00EF48E5" w:rsidRDefault="00CC67C3" w:rsidP="005F2A0B">
      <w:pPr>
        <w:pStyle w:val="ListParagraph"/>
        <w:numPr>
          <w:ilvl w:val="0"/>
          <w:numId w:val="11"/>
        </w:numPr>
        <w:spacing w:after="0" w:line="259" w:lineRule="auto"/>
        <w:rPr>
          <w:rFonts w:cstheme="minorHAnsi"/>
          <w:lang w:val="es-419"/>
        </w:rPr>
      </w:pPr>
      <w:r>
        <w:rPr>
          <w:rFonts w:cstheme="minorHAnsi"/>
          <w:lang w:val="es-419"/>
        </w:rPr>
        <w:t>M</w:t>
      </w:r>
      <w:r w:rsidR="005F2A0B" w:rsidRPr="00EF48E5">
        <w:rPr>
          <w:rFonts w:cstheme="minorHAnsi"/>
          <w:lang w:val="es-419"/>
        </w:rPr>
        <w:t>étodos participativos; y</w:t>
      </w:r>
    </w:p>
    <w:p w14:paraId="2D60C763" w14:textId="77777777" w:rsidR="005F2A0B" w:rsidRPr="00EF48E5" w:rsidRDefault="005F2A0B" w:rsidP="005F2A0B">
      <w:pPr>
        <w:pStyle w:val="ListParagraph"/>
        <w:numPr>
          <w:ilvl w:val="0"/>
          <w:numId w:val="11"/>
        </w:numPr>
        <w:spacing w:after="0" w:line="259" w:lineRule="auto"/>
        <w:rPr>
          <w:rFonts w:cstheme="minorHAnsi"/>
          <w:lang w:val="es-419"/>
        </w:rPr>
      </w:pPr>
      <w:r w:rsidRPr="00EF48E5">
        <w:rPr>
          <w:rFonts w:cstheme="minorHAnsi"/>
          <w:lang w:val="es-419"/>
        </w:rPr>
        <w:t>Otros mecanismos tradicionales de consulta y toma de decisiones.</w:t>
      </w:r>
    </w:p>
    <w:p w14:paraId="74CDE3DF" w14:textId="77777777" w:rsidR="005F2A0B" w:rsidRPr="00EF48E5" w:rsidRDefault="005F2A0B" w:rsidP="005F2A0B">
      <w:pPr>
        <w:spacing w:after="0"/>
        <w:rPr>
          <w:rFonts w:cstheme="minorHAnsi"/>
          <w:lang w:val="es-419"/>
        </w:rPr>
      </w:pPr>
    </w:p>
    <w:p w14:paraId="19ABEA16" w14:textId="3416CDA9" w:rsidR="005F2A0B" w:rsidRPr="00EF48E5" w:rsidRDefault="005F2A0B" w:rsidP="002513C9">
      <w:pPr>
        <w:pStyle w:val="ListParagraph"/>
        <w:numPr>
          <w:ilvl w:val="0"/>
          <w:numId w:val="35"/>
        </w:numPr>
        <w:spacing w:after="0" w:line="259" w:lineRule="auto"/>
        <w:contextualSpacing w:val="0"/>
        <w:rPr>
          <w:rFonts w:cstheme="minorHAnsi"/>
          <w:lang w:val="es-419"/>
        </w:rPr>
      </w:pPr>
      <w:r w:rsidRPr="00EF48E5">
        <w:rPr>
          <w:rFonts w:cstheme="minorHAnsi"/>
          <w:b/>
          <w:bCs/>
          <w:u w:val="single"/>
          <w:lang w:val="es-419"/>
        </w:rPr>
        <w:t>Otras actividades de participación</w:t>
      </w:r>
      <w:r w:rsidR="00EA4CD7">
        <w:rPr>
          <w:rFonts w:cstheme="minorHAnsi"/>
          <w:b/>
          <w:bCs/>
          <w:u w:val="single"/>
          <w:lang w:val="es-419"/>
        </w:rPr>
        <w:t>:</w:t>
      </w:r>
      <w:r w:rsidRPr="00EF48E5">
        <w:rPr>
          <w:rFonts w:cstheme="minorHAnsi"/>
          <w:b/>
          <w:bCs/>
          <w:lang w:val="es-419"/>
        </w:rPr>
        <w:t xml:space="preserve"> </w:t>
      </w:r>
      <w:r w:rsidRPr="00EF48E5">
        <w:rPr>
          <w:rFonts w:cstheme="minorHAnsi"/>
          <w:lang w:val="es-419"/>
        </w:rPr>
        <w:t xml:space="preserve">esta sección describirá cualquier otra actividad de participación que se llevará a cabo, incluidos los procesos participativos, la toma de decisiones conjunta y/o las asociaciones realizadas con las comunidades locales, las ONG u otras partes interesadas. Los </w:t>
      </w:r>
      <w:r w:rsidRPr="00EF48E5">
        <w:rPr>
          <w:rFonts w:cstheme="minorHAnsi"/>
          <w:lang w:val="es-419"/>
        </w:rPr>
        <w:lastRenderedPageBreak/>
        <w:t>ejemplos incluyen programas de distribución de beneficios, iniciativas de desarrollo comunitario, iniciativas de creación de empleo y/o programas de capacitación y microfinanzas.</w:t>
      </w:r>
    </w:p>
    <w:p w14:paraId="733FFC12" w14:textId="77777777" w:rsidR="005F2A0B" w:rsidRPr="00EF48E5" w:rsidRDefault="005F2A0B" w:rsidP="005F2A0B">
      <w:pPr>
        <w:pStyle w:val="ListParagraph"/>
        <w:spacing w:after="0"/>
        <w:ind w:left="360"/>
        <w:contextualSpacing w:val="0"/>
        <w:rPr>
          <w:rFonts w:cstheme="minorHAnsi"/>
          <w:lang w:val="es-419"/>
        </w:rPr>
      </w:pPr>
    </w:p>
    <w:p w14:paraId="78B63393" w14:textId="4FF0A855" w:rsidR="005F2A0B" w:rsidRPr="00EF48E5" w:rsidRDefault="005F2A0B" w:rsidP="002513C9">
      <w:pPr>
        <w:pStyle w:val="ListParagraph"/>
        <w:numPr>
          <w:ilvl w:val="0"/>
          <w:numId w:val="35"/>
        </w:numPr>
        <w:spacing w:after="0" w:line="259" w:lineRule="auto"/>
        <w:rPr>
          <w:rFonts w:cstheme="minorHAnsi"/>
          <w:lang w:val="es-419"/>
        </w:rPr>
      </w:pPr>
      <w:r w:rsidRPr="00EF48E5">
        <w:rPr>
          <w:rFonts w:cstheme="minorHAnsi"/>
          <w:b/>
          <w:u w:val="single"/>
          <w:lang w:val="es-419"/>
        </w:rPr>
        <w:t>Cronograma y recursos</w:t>
      </w:r>
      <w:r w:rsidR="00EA4CD7">
        <w:rPr>
          <w:rFonts w:cstheme="minorHAnsi"/>
          <w:b/>
          <w:u w:val="single"/>
          <w:lang w:val="es-419"/>
        </w:rPr>
        <w:t>:</w:t>
      </w:r>
      <w:r w:rsidRPr="00EF48E5">
        <w:rPr>
          <w:rFonts w:cstheme="minorHAnsi"/>
          <w:lang w:val="es-419"/>
        </w:rPr>
        <w:t xml:space="preserve"> Esta sección presentará un </w:t>
      </w:r>
      <w:r w:rsidRPr="00EF48E5">
        <w:rPr>
          <w:lang w:val="es-419"/>
        </w:rPr>
        <w:t>cronograma de implementación para cada actividad de participación de las partes interesadas enumeradas en las Secciones 11 a 13, junto con una estimación de las necesidades de recursos</w:t>
      </w:r>
      <w:r w:rsidR="00ED622F">
        <w:rPr>
          <w:lang w:val="es-419"/>
        </w:rPr>
        <w:t>.</w:t>
      </w:r>
    </w:p>
    <w:p w14:paraId="00E5841E" w14:textId="77777777" w:rsidR="005F2A0B" w:rsidRPr="00EF48E5" w:rsidRDefault="005F2A0B" w:rsidP="005F2A0B">
      <w:pPr>
        <w:pStyle w:val="ListParagraph"/>
        <w:rPr>
          <w:rFonts w:cstheme="minorHAnsi"/>
          <w:lang w:val="es-419"/>
        </w:rPr>
      </w:pPr>
    </w:p>
    <w:p w14:paraId="000A342A" w14:textId="07C509BE" w:rsidR="005F2A0B" w:rsidRPr="00EF48E5" w:rsidRDefault="005F2A0B" w:rsidP="002513C9">
      <w:pPr>
        <w:pStyle w:val="ListParagraph"/>
        <w:numPr>
          <w:ilvl w:val="0"/>
          <w:numId w:val="35"/>
        </w:numPr>
        <w:spacing w:after="0" w:line="259" w:lineRule="auto"/>
        <w:rPr>
          <w:rFonts w:cstheme="minorHAnsi"/>
          <w:bCs/>
          <w:iCs/>
          <w:lang w:val="es-419"/>
        </w:rPr>
      </w:pPr>
      <w:r w:rsidRPr="00EF48E5">
        <w:rPr>
          <w:rFonts w:cstheme="minorHAnsi"/>
          <w:b/>
          <w:u w:val="single"/>
          <w:lang w:val="es-419"/>
        </w:rPr>
        <w:t>Monitoreo y arreglos</w:t>
      </w:r>
      <w:r w:rsidR="00EA4CD7">
        <w:rPr>
          <w:rFonts w:cstheme="minorHAnsi"/>
          <w:b/>
          <w:u w:val="single"/>
          <w:lang w:val="es-419"/>
        </w:rPr>
        <w:t>:</w:t>
      </w:r>
      <w:r w:rsidRPr="00EF48E5">
        <w:rPr>
          <w:rFonts w:cstheme="minorHAnsi"/>
          <w:lang w:val="es-419"/>
        </w:rPr>
        <w:t xml:space="preserve"> esta sección tiene como objetivo </w:t>
      </w:r>
      <w:r w:rsidRPr="00EF48E5">
        <w:rPr>
          <w:rFonts w:cstheme="minorHAnsi"/>
          <w:bCs/>
          <w:iCs/>
          <w:lang w:val="es-419"/>
        </w:rPr>
        <w:t>describir qué pasos tomará para monitorear y evaluar la efectividad de las actividades de participación de las partes interesadas enumeradas en las Secciones 11 a 13.</w:t>
      </w:r>
    </w:p>
    <w:p w14:paraId="227FEAC1" w14:textId="77777777" w:rsidR="005F2A0B" w:rsidRPr="00EF48E5" w:rsidRDefault="005F2A0B" w:rsidP="005F2A0B">
      <w:pPr>
        <w:pStyle w:val="ListParagraph"/>
        <w:rPr>
          <w:rFonts w:cstheme="minorHAnsi"/>
          <w:bCs/>
          <w:iCs/>
          <w:lang w:val="es-419"/>
        </w:rPr>
      </w:pPr>
    </w:p>
    <w:p w14:paraId="205DB5A2" w14:textId="5FEFF669" w:rsidR="005F2A0B" w:rsidRPr="00EF48E5" w:rsidRDefault="005F2A0B" w:rsidP="002513C9">
      <w:pPr>
        <w:pStyle w:val="ListParagraph"/>
        <w:numPr>
          <w:ilvl w:val="0"/>
          <w:numId w:val="35"/>
        </w:numPr>
        <w:spacing w:after="0" w:line="259" w:lineRule="auto"/>
        <w:rPr>
          <w:rFonts w:cstheme="minorHAnsi"/>
          <w:bCs/>
          <w:iCs/>
          <w:lang w:val="es-419"/>
        </w:rPr>
      </w:pPr>
      <w:r w:rsidRPr="00EF48E5">
        <w:rPr>
          <w:rFonts w:cstheme="minorHAnsi"/>
          <w:b/>
          <w:u w:val="single"/>
          <w:lang w:val="es-419"/>
        </w:rPr>
        <w:t>Consulta</w:t>
      </w:r>
      <w:r w:rsidR="00EA4CD7">
        <w:rPr>
          <w:rFonts w:cstheme="minorHAnsi"/>
          <w:b/>
          <w:u w:val="single"/>
          <w:lang w:val="es-419"/>
        </w:rPr>
        <w:t>:</w:t>
      </w:r>
      <w:r w:rsidRPr="00EF48E5">
        <w:rPr>
          <w:rFonts w:cstheme="minorHAnsi"/>
          <w:lang w:val="es-419"/>
        </w:rPr>
        <w:t xml:space="preserve"> Esta sección </w:t>
      </w:r>
      <w:r w:rsidRPr="00EF48E5">
        <w:rPr>
          <w:lang w:val="es-419"/>
        </w:rPr>
        <w:t>resumirá las consultas realizadas con las partes interesadas en la preparación del plan, en particular las comunidades locales que pueden verse particularmente afectadas por las actividades propuestas. Incluya las fechas de las consultas y un resumen del número de mujeres y hombres consultados, pero no incluya los nombres de las personas.</w:t>
      </w:r>
    </w:p>
    <w:p w14:paraId="460DC81A" w14:textId="77777777" w:rsidR="005F2A0B" w:rsidRPr="00EF48E5" w:rsidRDefault="005F2A0B" w:rsidP="005F2A0B">
      <w:pPr>
        <w:pStyle w:val="ListParagraph"/>
        <w:rPr>
          <w:rFonts w:cstheme="minorHAnsi"/>
          <w:bCs/>
          <w:iCs/>
          <w:lang w:val="es-419"/>
        </w:rPr>
      </w:pPr>
    </w:p>
    <w:p w14:paraId="19C27124" w14:textId="393196CA" w:rsidR="005F2A0B" w:rsidRPr="00EF48E5" w:rsidRDefault="005F2A0B" w:rsidP="002513C9">
      <w:pPr>
        <w:pStyle w:val="ListParagraph"/>
        <w:numPr>
          <w:ilvl w:val="0"/>
          <w:numId w:val="35"/>
        </w:numPr>
        <w:spacing w:after="0" w:line="259" w:lineRule="auto"/>
        <w:rPr>
          <w:rFonts w:cstheme="minorHAnsi"/>
          <w:bCs/>
          <w:iCs/>
          <w:lang w:val="es-419"/>
        </w:rPr>
      </w:pPr>
      <w:r w:rsidRPr="00EF48E5">
        <w:rPr>
          <w:rFonts w:cstheme="minorHAnsi"/>
          <w:b/>
          <w:u w:val="single"/>
          <w:lang w:val="es-419"/>
        </w:rPr>
        <w:t>Divulgación</w:t>
      </w:r>
      <w:r w:rsidR="00EA4CD7">
        <w:rPr>
          <w:rFonts w:cstheme="minorHAnsi"/>
          <w:b/>
          <w:u w:val="single"/>
          <w:lang w:val="es-419"/>
        </w:rPr>
        <w:t>:</w:t>
      </w:r>
      <w:r w:rsidRPr="00EF48E5">
        <w:rPr>
          <w:rFonts w:cstheme="minorHAnsi"/>
          <w:lang w:val="es-419"/>
        </w:rPr>
        <w:t xml:space="preserve"> CEPF exige que los instrumentos ambientales y sociales se divulguen a las comunidades locales afectadas y otras partes interesadas antes de la implementación del proyecto. Describa los esfuerzos que ha realizado para divulgar este Plan de participación de las partes interesadas.</w:t>
      </w:r>
    </w:p>
    <w:p w14:paraId="537B2C39" w14:textId="77777777" w:rsidR="005F2A0B" w:rsidRPr="00EF48E5" w:rsidRDefault="005F2A0B" w:rsidP="005F2A0B">
      <w:pPr>
        <w:pStyle w:val="ListParagraph"/>
        <w:rPr>
          <w:rFonts w:cstheme="minorHAnsi"/>
          <w:b/>
          <w:bCs/>
          <w:u w:val="single"/>
          <w:lang w:val="es-419"/>
        </w:rPr>
      </w:pPr>
    </w:p>
    <w:p w14:paraId="375C5EC0" w14:textId="4B04080A" w:rsidR="005F2A0B" w:rsidRPr="00EF48E5" w:rsidRDefault="005F2A0B" w:rsidP="002513C9">
      <w:pPr>
        <w:pStyle w:val="ListParagraph"/>
        <w:numPr>
          <w:ilvl w:val="0"/>
          <w:numId w:val="35"/>
        </w:numPr>
        <w:spacing w:after="0" w:line="259" w:lineRule="auto"/>
        <w:rPr>
          <w:rFonts w:cstheme="minorHAnsi"/>
          <w:bCs/>
          <w:iCs/>
          <w:lang w:val="es-419"/>
        </w:rPr>
      </w:pPr>
      <w:r w:rsidRPr="00EF48E5">
        <w:rPr>
          <w:rFonts w:cstheme="minorHAnsi"/>
          <w:b/>
          <w:bCs/>
          <w:u w:val="single"/>
          <w:lang w:val="es-419"/>
        </w:rPr>
        <w:t>Mecanismo de quejas</w:t>
      </w:r>
      <w:r w:rsidR="00EA4CD7">
        <w:rPr>
          <w:rFonts w:cstheme="minorHAnsi"/>
          <w:b/>
          <w:bCs/>
          <w:u w:val="single"/>
          <w:lang w:val="es-419"/>
        </w:rPr>
        <w:t>:</w:t>
      </w:r>
      <w:r w:rsidRPr="00EF48E5">
        <w:rPr>
          <w:rFonts w:cstheme="minorHAnsi"/>
          <w:b/>
          <w:bCs/>
          <w:lang w:val="es-419"/>
        </w:rPr>
        <w:t xml:space="preserve"> </w:t>
      </w:r>
      <w:r w:rsidRPr="00EF48E5">
        <w:rPr>
          <w:rFonts w:cstheme="minorHAnsi"/>
          <w:lang w:val="es-419"/>
        </w:rPr>
        <w:t>Para todos los subproyectos en los que se aplique un estándar ambiental o social del Banco Mundial, el beneficiario debe proporcionar a las comunidades locales y otras partes interesadas relevantes un medio para presentar una queja</w:t>
      </w:r>
      <w:r w:rsidR="006457CD">
        <w:rPr>
          <w:rFonts w:cstheme="minorHAnsi"/>
          <w:lang w:val="es-419"/>
        </w:rPr>
        <w:t>,</w:t>
      </w:r>
      <w:r w:rsidRPr="00EF48E5">
        <w:rPr>
          <w:lang w:val="es-419"/>
        </w:rPr>
        <w:t xml:space="preserve"> y mediante la cual esta queja pueda ser considerada y resuelta satisfactoriamente.</w:t>
      </w:r>
    </w:p>
    <w:p w14:paraId="6DABAFA2" w14:textId="77777777" w:rsidR="005F2A0B" w:rsidRPr="00EF48E5" w:rsidRDefault="005F2A0B" w:rsidP="005F2A0B">
      <w:pPr>
        <w:pStyle w:val="ListParagraph"/>
        <w:autoSpaceDE w:val="0"/>
        <w:autoSpaceDN w:val="0"/>
        <w:adjustRightInd w:val="0"/>
        <w:ind w:left="360"/>
        <w:rPr>
          <w:rFonts w:cstheme="minorHAnsi"/>
          <w:lang w:val="es-419"/>
        </w:rPr>
      </w:pPr>
    </w:p>
    <w:p w14:paraId="6E7DC96B" w14:textId="77777777" w:rsidR="005F2A0B" w:rsidRPr="00EF48E5" w:rsidRDefault="005F2A0B" w:rsidP="005F2A0B">
      <w:pPr>
        <w:pStyle w:val="ListParagraph"/>
        <w:autoSpaceDE w:val="0"/>
        <w:autoSpaceDN w:val="0"/>
        <w:adjustRightInd w:val="0"/>
        <w:ind w:left="360"/>
        <w:rPr>
          <w:rFonts w:cstheme="minorHAnsi"/>
          <w:lang w:val="es-419"/>
        </w:rPr>
      </w:pPr>
      <w:r w:rsidRPr="00EF48E5">
        <w:rPr>
          <w:rFonts w:cstheme="minorHAnsi"/>
          <w:lang w:val="es-419"/>
        </w:rPr>
        <w:t>Este mecanismo de quejas debe incluir, como mínimo, los siguientes elementos:</w:t>
      </w:r>
    </w:p>
    <w:p w14:paraId="6AA4F98A" w14:textId="77777777" w:rsidR="005F2A0B" w:rsidRPr="00EF48E5" w:rsidRDefault="005F2A0B" w:rsidP="005F2A0B">
      <w:pPr>
        <w:pStyle w:val="ListParagraph"/>
        <w:autoSpaceDE w:val="0"/>
        <w:autoSpaceDN w:val="0"/>
        <w:adjustRightInd w:val="0"/>
        <w:ind w:left="360"/>
        <w:rPr>
          <w:rFonts w:cstheme="minorHAnsi"/>
          <w:lang w:val="es-419"/>
        </w:rPr>
      </w:pPr>
    </w:p>
    <w:p w14:paraId="56062415"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t>Información de contacto de correo electrónico y teléfono de la organización beneficiaria.</w:t>
      </w:r>
    </w:p>
    <w:p w14:paraId="44A32A9F"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t>Información de contacto de correo electrónico y teléfono para el Equipo de Implementación Regional del CEPF.</w:t>
      </w:r>
    </w:p>
    <w:p w14:paraId="42A6EC4E"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t xml:space="preserve">Los datos de contacto de la línea directa de </w:t>
      </w:r>
      <w:r w:rsidRPr="00EF48E5">
        <w:rPr>
          <w:lang w:val="es-419"/>
        </w:rPr>
        <w:t xml:space="preserve">ética de CI (teléfono: +1-866-294-8674 / portal web: </w:t>
      </w:r>
      <w:hyperlink r:id="rId16" w:history="1">
        <w:r w:rsidRPr="00EF48E5">
          <w:rPr>
            <w:rStyle w:val="Hyperlink"/>
            <w:lang w:val="es-419"/>
          </w:rPr>
          <w:t xml:space="preserve">https://secure.ethicspoint.com/domain/media/en/gui/10680/index.html </w:t>
        </w:r>
      </w:hyperlink>
      <w:r w:rsidRPr="00EF48E5">
        <w:rPr>
          <w:lang w:val="es-419"/>
        </w:rPr>
        <w:t>).</w:t>
      </w:r>
    </w:p>
    <w:p w14:paraId="18C43E4F"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t>Una declaración que describa cómo informará a las partes interesadas sobre los objetivos del subproyecto y la existencia del mecanismo de quejas (p. ej., carteles, letreros, avisos públicos, anuncios públicos, uso de idiomas locales).</w:t>
      </w:r>
    </w:p>
    <w:p w14:paraId="3B972B99"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t xml:space="preserve">Una declaración de que compartirá todas las quejas, y una respuesta propuesta, con el Equipo de Implementación Regional y el </w:t>
      </w:r>
      <w:proofErr w:type="gramStart"/>
      <w:r w:rsidRPr="00EF48E5">
        <w:rPr>
          <w:rFonts w:cstheme="minorHAnsi"/>
          <w:lang w:val="es-419"/>
        </w:rPr>
        <w:t>Director</w:t>
      </w:r>
      <w:proofErr w:type="gramEnd"/>
      <w:r w:rsidRPr="00EF48E5">
        <w:rPr>
          <w:rFonts w:cstheme="minorHAnsi"/>
          <w:lang w:val="es-419"/>
        </w:rPr>
        <w:t xml:space="preserve"> de Subvenciones del CEPF dentro de los 15 días. Si el reclamante no está satisfecho después de la respuesta, puede presentar la queja al </w:t>
      </w:r>
      <w:proofErr w:type="gramStart"/>
      <w:r w:rsidRPr="00EF48E5">
        <w:rPr>
          <w:rFonts w:cstheme="minorHAnsi"/>
          <w:lang w:val="es-419"/>
        </w:rPr>
        <w:t>Director Ejecutivo</w:t>
      </w:r>
      <w:proofErr w:type="gramEnd"/>
      <w:r w:rsidRPr="00EF48E5">
        <w:rPr>
          <w:rFonts w:cstheme="minorHAnsi"/>
          <w:lang w:val="es-419"/>
        </w:rPr>
        <w:t xml:space="preserve"> de CEPF a través de la Línea Directa de Ética de CI. Si el reclamante no está satisfecho con la respuesta del </w:t>
      </w:r>
      <w:proofErr w:type="gramStart"/>
      <w:r w:rsidRPr="00EF48E5">
        <w:rPr>
          <w:rFonts w:cstheme="minorHAnsi"/>
          <w:lang w:val="es-419"/>
        </w:rPr>
        <w:t>Director Ejecutivo</w:t>
      </w:r>
      <w:proofErr w:type="gramEnd"/>
      <w:r w:rsidRPr="00EF48E5">
        <w:rPr>
          <w:rFonts w:cstheme="minorHAnsi"/>
          <w:lang w:val="es-419"/>
        </w:rPr>
        <w:t xml:space="preserve"> del CEPF, puede presentar la queja ante el Banco Mundial a través del Servicio de Reparación de Quejas (GRS) del Banco Mundial.</w:t>
      </w:r>
    </w:p>
    <w:p w14:paraId="317070B0" w14:textId="77777777" w:rsidR="005F2A0B" w:rsidRPr="00EF48E5" w:rsidRDefault="005F2A0B" w:rsidP="005F2A0B">
      <w:pPr>
        <w:autoSpaceDE w:val="0"/>
        <w:autoSpaceDN w:val="0"/>
        <w:adjustRightInd w:val="0"/>
        <w:spacing w:after="0"/>
        <w:rPr>
          <w:lang w:val="es-419"/>
        </w:rPr>
      </w:pPr>
    </w:p>
    <w:p w14:paraId="419FDD30" w14:textId="704521A0" w:rsidR="005F2A0B" w:rsidRPr="00EF48E5" w:rsidRDefault="005F2A0B" w:rsidP="005F2A0B">
      <w:pPr>
        <w:pStyle w:val="ListParagraph"/>
        <w:autoSpaceDE w:val="0"/>
        <w:autoSpaceDN w:val="0"/>
        <w:adjustRightInd w:val="0"/>
        <w:ind w:left="360"/>
        <w:rPr>
          <w:rFonts w:cstheme="minorHAnsi"/>
          <w:lang w:val="es-419"/>
        </w:rPr>
      </w:pPr>
      <w:r w:rsidRPr="00EF48E5">
        <w:rPr>
          <w:lang w:val="es-419"/>
        </w:rPr>
        <w:t xml:space="preserve">El reclamante tiene la opción de acercarse al Banco Mundial, si encuentra que el GRM establecido no puede resolver el </w:t>
      </w:r>
      <w:r w:rsidRPr="00EF48E5">
        <w:rPr>
          <w:rFonts w:cstheme="minorHAnsi"/>
          <w:lang w:val="es-419"/>
        </w:rPr>
        <w:t>problema</w:t>
      </w:r>
      <w:r w:rsidR="00ED622F">
        <w:rPr>
          <w:rFonts w:cstheme="minorHAnsi"/>
          <w:lang w:val="es-419"/>
        </w:rPr>
        <w:t>.</w:t>
      </w:r>
      <w:r w:rsidRPr="00EF48E5">
        <w:rPr>
          <w:lang w:val="es-419"/>
        </w:rPr>
        <w:t xml:space="preserve"> </w:t>
      </w:r>
      <w:r w:rsidRPr="00EF48E5">
        <w:rPr>
          <w:b/>
          <w:bCs/>
          <w:lang w:val="es-419"/>
        </w:rPr>
        <w:t xml:space="preserve">Debe tenerse en cuenta que, idealmente, solo se debe acceder a este GRS una vez que el mecanismo de quejas del proyecto se haya utilizado por primera vez sin una resolución aceptable. </w:t>
      </w:r>
      <w:r w:rsidRPr="00EF48E5">
        <w:rPr>
          <w:lang w:val="es-419"/>
        </w:rPr>
        <w:t xml:space="preserve">Los procedimientos del Banco Mundial requieren que el reclamante exprese sus quejas por escrito a la oficina del Banco Mundial en Washington DC completando el formulario de quejas GRS del banco, </w:t>
      </w:r>
      <w:r w:rsidRPr="00EF48E5">
        <w:rPr>
          <w:color w:val="333333"/>
          <w:sz w:val="23"/>
          <w:szCs w:val="23"/>
          <w:lang w:val="es-419"/>
        </w:rPr>
        <w:t xml:space="preserve">que se puede encontrar en el siguiente enlace: </w:t>
      </w:r>
      <w:hyperlink r:id="rId17" w:anchor="5" w:history="1">
        <w:r w:rsidRPr="00EF48E5">
          <w:rPr>
            <w:rStyle w:val="Hyperlink"/>
            <w:lang w:val="es-419"/>
          </w:rPr>
          <w:t>http://www.worldbank.org/en/projects- operaciones/productos-y-servicios/servicio-de-reparacion-de-quejas#5</w:t>
        </w:r>
      </w:hyperlink>
      <w:r w:rsidR="00ED622F">
        <w:rPr>
          <w:color w:val="333333"/>
          <w:lang w:val="es-419"/>
        </w:rPr>
        <w:t>.</w:t>
      </w:r>
      <w:r w:rsidRPr="00EF48E5">
        <w:rPr>
          <w:color w:val="000000" w:themeColor="text1"/>
          <w:lang w:val="es-419"/>
        </w:rPr>
        <w:t xml:space="preserve"> Los formularios completos se aceptarán por correo electrónico, fax, carta y entrega en mano al GRS en la sede del Banco Mundial en Washington o en las oficinas de país del Banco Mundial.</w:t>
      </w:r>
    </w:p>
    <w:p w14:paraId="2CF55EB1" w14:textId="77777777" w:rsidR="005F2A0B" w:rsidRPr="00EF48E5" w:rsidRDefault="005F2A0B" w:rsidP="005F2A0B">
      <w:pPr>
        <w:spacing w:before="160" w:after="0"/>
        <w:ind w:left="1080"/>
        <w:rPr>
          <w:lang w:val="es-419"/>
        </w:rPr>
      </w:pPr>
      <w:r w:rsidRPr="00EF48E5">
        <w:rPr>
          <w:b/>
          <w:bCs/>
          <w:color w:val="000000" w:themeColor="text1"/>
          <w:lang w:val="es-419"/>
        </w:rPr>
        <w:t xml:space="preserve">Correo electrónico: </w:t>
      </w:r>
      <w:r w:rsidRPr="00EF48E5">
        <w:rPr>
          <w:b/>
          <w:bCs/>
          <w:color w:val="000000" w:themeColor="text1"/>
          <w:lang w:val="es-419"/>
        </w:rPr>
        <w:tab/>
      </w:r>
      <w:hyperlink r:id="rId18" w:history="1">
        <w:r w:rsidRPr="00EF48E5">
          <w:rPr>
            <w:rStyle w:val="Hyperlink"/>
            <w:lang w:val="es-419"/>
          </w:rPr>
          <w:t>grievances@worldbank.org</w:t>
        </w:r>
      </w:hyperlink>
    </w:p>
    <w:p w14:paraId="5C3E877D" w14:textId="77777777" w:rsidR="005F2A0B" w:rsidRPr="00EF48E5" w:rsidRDefault="005F2A0B" w:rsidP="005F2A0B">
      <w:pPr>
        <w:spacing w:after="0" w:line="240" w:lineRule="auto"/>
        <w:ind w:left="1080"/>
        <w:rPr>
          <w:b/>
          <w:bCs/>
          <w:color w:val="000000" w:themeColor="text1"/>
          <w:lang w:val="es-419"/>
        </w:rPr>
      </w:pPr>
      <w:r w:rsidRPr="00EF48E5">
        <w:rPr>
          <w:b/>
          <w:bCs/>
          <w:color w:val="000000" w:themeColor="text1"/>
          <w:lang w:val="es-419"/>
        </w:rPr>
        <w:t xml:space="preserve">Fax: </w:t>
      </w:r>
      <w:r w:rsidRPr="00EF48E5">
        <w:rPr>
          <w:b/>
          <w:bCs/>
          <w:color w:val="000000" w:themeColor="text1"/>
          <w:lang w:val="es-419"/>
        </w:rPr>
        <w:tab/>
      </w:r>
      <w:r w:rsidRPr="00EF48E5">
        <w:rPr>
          <w:color w:val="000000" w:themeColor="text1"/>
          <w:lang w:val="es-419"/>
        </w:rPr>
        <w:t>+1-202-614-7313</w:t>
      </w:r>
    </w:p>
    <w:p w14:paraId="65E0A26C" w14:textId="76F83454" w:rsidR="005F2A0B" w:rsidRPr="00EF48E5" w:rsidRDefault="005F2A0B" w:rsidP="005F2A0B">
      <w:pPr>
        <w:pStyle w:val="NoSpacing"/>
        <w:ind w:left="1080"/>
        <w:jc w:val="both"/>
        <w:rPr>
          <w:rFonts w:cstheme="minorHAnsi"/>
          <w:bCs/>
          <w:color w:val="000000" w:themeColor="text1"/>
          <w:sz w:val="22"/>
          <w:lang w:val="es-419"/>
        </w:rPr>
      </w:pPr>
      <w:r w:rsidRPr="00EF48E5">
        <w:rPr>
          <w:rFonts w:cstheme="minorHAnsi"/>
          <w:b/>
          <w:bCs/>
          <w:color w:val="000000" w:themeColor="text1"/>
          <w:sz w:val="22"/>
          <w:lang w:val="es-419"/>
        </w:rPr>
        <w:t xml:space="preserve">Por carta: </w:t>
      </w:r>
      <w:r w:rsidRPr="00EF48E5">
        <w:rPr>
          <w:rFonts w:cstheme="minorHAnsi"/>
          <w:b/>
          <w:bCs/>
          <w:color w:val="000000" w:themeColor="text1"/>
          <w:sz w:val="22"/>
          <w:lang w:val="es-419"/>
        </w:rPr>
        <w:tab/>
      </w:r>
      <w:r w:rsidRPr="00EF48E5">
        <w:rPr>
          <w:rFonts w:cstheme="minorHAnsi"/>
          <w:bCs/>
          <w:color w:val="000000" w:themeColor="text1"/>
          <w:sz w:val="22"/>
          <w:lang w:val="es-419"/>
        </w:rPr>
        <w:t>Banco Mundial</w:t>
      </w:r>
    </w:p>
    <w:p w14:paraId="75C3E52B" w14:textId="77777777" w:rsidR="005F2A0B" w:rsidRPr="00EF48E5" w:rsidRDefault="005F2A0B" w:rsidP="005F2A0B">
      <w:pPr>
        <w:pStyle w:val="NoSpacing"/>
        <w:ind w:left="1080"/>
        <w:jc w:val="both"/>
        <w:rPr>
          <w:rFonts w:cstheme="minorHAnsi"/>
          <w:bCs/>
          <w:color w:val="000000" w:themeColor="text1"/>
          <w:sz w:val="22"/>
          <w:lang w:val="es-419"/>
        </w:rPr>
      </w:pPr>
      <w:r w:rsidRPr="00EF48E5">
        <w:rPr>
          <w:rFonts w:cstheme="minorHAnsi"/>
          <w:bCs/>
          <w:color w:val="000000" w:themeColor="text1"/>
          <w:sz w:val="22"/>
          <w:lang w:val="es-419"/>
        </w:rPr>
        <w:t xml:space="preserve"> </w:t>
      </w:r>
      <w:r w:rsidRPr="00EF48E5">
        <w:rPr>
          <w:rFonts w:cstheme="minorHAnsi"/>
          <w:bCs/>
          <w:color w:val="000000" w:themeColor="text1"/>
          <w:sz w:val="22"/>
          <w:lang w:val="es-419"/>
        </w:rPr>
        <w:tab/>
      </w:r>
      <w:r w:rsidRPr="00EF48E5">
        <w:rPr>
          <w:rFonts w:cstheme="minorHAnsi"/>
          <w:bCs/>
          <w:color w:val="000000" w:themeColor="text1"/>
          <w:sz w:val="22"/>
          <w:lang w:val="es-419"/>
        </w:rPr>
        <w:tab/>
        <w:t>Servicio de Reparación de Quejas (GRS)</w:t>
      </w:r>
    </w:p>
    <w:p w14:paraId="773B9DF3" w14:textId="77777777" w:rsidR="005F2A0B" w:rsidRPr="00EF48E5" w:rsidRDefault="005F2A0B" w:rsidP="005F2A0B">
      <w:pPr>
        <w:pStyle w:val="NoSpacing"/>
        <w:ind w:left="1440" w:firstLine="720"/>
        <w:jc w:val="both"/>
        <w:rPr>
          <w:rFonts w:cstheme="minorHAnsi"/>
          <w:bCs/>
          <w:color w:val="000000" w:themeColor="text1"/>
          <w:sz w:val="22"/>
          <w:lang w:val="es-419"/>
        </w:rPr>
      </w:pPr>
      <w:r w:rsidRPr="00EF48E5">
        <w:rPr>
          <w:rFonts w:cstheme="minorHAnsi"/>
          <w:bCs/>
          <w:color w:val="000000" w:themeColor="text1"/>
          <w:sz w:val="22"/>
          <w:lang w:val="es-419"/>
        </w:rPr>
        <w:t>MSN MC 10-1018 NO,</w:t>
      </w:r>
    </w:p>
    <w:p w14:paraId="452772E1" w14:textId="77777777" w:rsidR="005F2A0B" w:rsidRPr="00EF48E5" w:rsidRDefault="005F2A0B" w:rsidP="005F2A0B">
      <w:pPr>
        <w:pStyle w:val="NoSpacing"/>
        <w:ind w:left="1440" w:firstLine="720"/>
        <w:jc w:val="both"/>
        <w:rPr>
          <w:rFonts w:cstheme="minorHAnsi"/>
          <w:bCs/>
          <w:color w:val="000000" w:themeColor="text1"/>
          <w:sz w:val="22"/>
          <w:lang w:val="es-419"/>
        </w:rPr>
      </w:pPr>
      <w:r w:rsidRPr="00EF48E5">
        <w:rPr>
          <w:rFonts w:cstheme="minorHAnsi"/>
          <w:bCs/>
          <w:color w:val="000000" w:themeColor="text1"/>
          <w:sz w:val="22"/>
          <w:lang w:val="es-419"/>
        </w:rPr>
        <w:t>Washington, DC 20433, EE. UU.</w:t>
      </w:r>
    </w:p>
    <w:p w14:paraId="5FA49831" w14:textId="77777777" w:rsidR="005F2A0B" w:rsidRPr="00EF48E5" w:rsidRDefault="005F2A0B" w:rsidP="005F2A0B">
      <w:pPr>
        <w:pStyle w:val="ListParagraph"/>
        <w:ind w:left="360"/>
        <w:rPr>
          <w:b/>
          <w:bCs/>
          <w:lang w:val="es-419"/>
        </w:rPr>
      </w:pPr>
      <w:r w:rsidRPr="00EF48E5">
        <w:rPr>
          <w:b/>
          <w:bCs/>
          <w:lang w:val="es-419"/>
        </w:rPr>
        <w:lastRenderedPageBreak/>
        <w:t>Abordar la violencia de género</w:t>
      </w:r>
    </w:p>
    <w:p w14:paraId="486F7D45" w14:textId="17331A59" w:rsidR="005F2A0B" w:rsidRPr="00EF48E5" w:rsidRDefault="005F2A0B" w:rsidP="005F2A0B">
      <w:pPr>
        <w:pStyle w:val="ListParagraph"/>
        <w:autoSpaceDE w:val="0"/>
        <w:autoSpaceDN w:val="0"/>
        <w:adjustRightInd w:val="0"/>
        <w:ind w:left="360"/>
        <w:rPr>
          <w:lang w:val="es-419"/>
        </w:rPr>
      </w:pPr>
      <w:r w:rsidRPr="00EF48E5">
        <w:rPr>
          <w:lang w:val="es-419"/>
        </w:rPr>
        <w:t>El concesionario también deberá hacer disposiciones especiales para las quejas relacionadas con la violencia de género (V</w:t>
      </w:r>
      <w:r w:rsidR="00CC67C3">
        <w:rPr>
          <w:lang w:val="es-419"/>
        </w:rPr>
        <w:t>G</w:t>
      </w:r>
      <w:r w:rsidRPr="00EF48E5">
        <w:rPr>
          <w:lang w:val="es-419"/>
        </w:rPr>
        <w:t xml:space="preserve">), debido a la necesidad de que las quejas sean manejadas por personas con capacitación especializada y que adopten un enfoque centrado en </w:t>
      </w:r>
      <w:r w:rsidR="00850F7E">
        <w:rPr>
          <w:lang w:val="es-419"/>
        </w:rPr>
        <w:t>el sobreviviente</w:t>
      </w:r>
      <w:r w:rsidRPr="00EF48E5">
        <w:rPr>
          <w:lang w:val="es-419"/>
        </w:rPr>
        <w:t xml:space="preserve">. El beneficiario recibirá los datos de contacto de un proveedor de servicios de violencia basada en género en el país del proyecto y deberá incluirlos en sus mecanismos de presentación de quejas. </w:t>
      </w:r>
      <w:r w:rsidR="00850F7E">
        <w:rPr>
          <w:lang w:val="es-419"/>
        </w:rPr>
        <w:t>Los sobrevivientes</w:t>
      </w:r>
      <w:r w:rsidRPr="00EF48E5">
        <w:rPr>
          <w:lang w:val="es-419"/>
        </w:rPr>
        <w:t xml:space="preserve"> de VG tendrán la opción de contactar directamente al proveedor de servicios de VBG, quien, a su vez, informará a la Secretaría del CEPF, con el consentimiento expreso de la </w:t>
      </w:r>
      <w:r w:rsidR="00CC67C3">
        <w:rPr>
          <w:lang w:val="es-419"/>
        </w:rPr>
        <w:t>persona afectada</w:t>
      </w:r>
      <w:r w:rsidRPr="00EF48E5">
        <w:rPr>
          <w:lang w:val="es-419"/>
        </w:rPr>
        <w:t>.</w:t>
      </w:r>
    </w:p>
    <w:p w14:paraId="7825A85D" w14:textId="77777777" w:rsidR="005F2A0B" w:rsidRPr="00EF48E5" w:rsidRDefault="005F2A0B" w:rsidP="005F2A0B">
      <w:pPr>
        <w:pStyle w:val="ListParagraph"/>
        <w:autoSpaceDE w:val="0"/>
        <w:autoSpaceDN w:val="0"/>
        <w:adjustRightInd w:val="0"/>
        <w:ind w:left="360"/>
        <w:rPr>
          <w:lang w:val="es-419"/>
        </w:rPr>
      </w:pPr>
    </w:p>
    <w:p w14:paraId="57B8F1FE" w14:textId="77777777" w:rsidR="005F2A0B" w:rsidRPr="00EF48E5" w:rsidRDefault="005F2A0B" w:rsidP="005F2A0B">
      <w:pPr>
        <w:pStyle w:val="ListParagraph"/>
        <w:spacing w:line="257" w:lineRule="auto"/>
        <w:ind w:left="360"/>
        <w:rPr>
          <w:lang w:val="es-419"/>
        </w:rPr>
      </w:pPr>
      <w:r w:rsidRPr="00EF48E5">
        <w:rPr>
          <w:lang w:val="es-419"/>
        </w:rPr>
        <w:t>Siguiendo la guía anterior, describa el mecanismo de quejas que utilizará.</w:t>
      </w:r>
    </w:p>
    <w:p w14:paraId="5620A8D1" w14:textId="77777777" w:rsidR="00F52DB0" w:rsidRPr="00EF48E5" w:rsidRDefault="00F52DB0" w:rsidP="005F2A0B">
      <w:pPr>
        <w:rPr>
          <w:lang w:val="es-419"/>
        </w:rPr>
        <w:sectPr w:rsidR="00F52DB0" w:rsidRPr="00EF48E5" w:rsidSect="00F52DB0">
          <w:headerReference w:type="default" r:id="rId19"/>
          <w:footerReference w:type="default" r:id="rId20"/>
          <w:pgSz w:w="12240" w:h="20160" w:code="5"/>
          <w:pgMar w:top="1440" w:right="1440" w:bottom="1440" w:left="1440" w:header="720" w:footer="720" w:gutter="0"/>
          <w:cols w:space="720"/>
          <w:titlePg/>
          <w:docGrid w:linePitch="360"/>
        </w:sectPr>
      </w:pPr>
    </w:p>
    <w:p w14:paraId="2B232349" w14:textId="7B2D5508" w:rsidR="005F2A0B" w:rsidRPr="00EF48E5" w:rsidRDefault="001F47EA" w:rsidP="005F2A0B">
      <w:pPr>
        <w:pStyle w:val="Heading1"/>
        <w:rPr>
          <w:lang w:val="es-419"/>
        </w:rPr>
      </w:pPr>
      <w:bookmarkStart w:id="38" w:name="_Toc51772103"/>
      <w:bookmarkStart w:id="39" w:name="_Toc52881559"/>
      <w:bookmarkStart w:id="40" w:name="_Toc100399005"/>
      <w:r w:rsidRPr="00EF48E5">
        <w:rPr>
          <w:lang w:val="es-419"/>
        </w:rPr>
        <w:lastRenderedPageBreak/>
        <w:t xml:space="preserve">Cuadro A2.1 </w:t>
      </w:r>
      <w:r w:rsidR="005F2A0B" w:rsidRPr="00EF48E5">
        <w:rPr>
          <w:lang w:val="es-419"/>
        </w:rPr>
        <w:t>Programa de identificación y participación de las partes interesadas</w:t>
      </w:r>
      <w:bookmarkEnd w:id="38"/>
      <w:bookmarkEnd w:id="39"/>
      <w:bookmarkEnd w:id="40"/>
    </w:p>
    <w:p w14:paraId="7E0D7E6F" w14:textId="6AE130C4" w:rsidR="005F2A0B" w:rsidRPr="00EF48E5" w:rsidRDefault="005F2A0B" w:rsidP="005F2A0B">
      <w:pPr>
        <w:rPr>
          <w:i/>
          <w:iCs/>
          <w:lang w:val="es-419"/>
        </w:rPr>
      </w:pPr>
      <w:r w:rsidRPr="00EF48E5">
        <w:rPr>
          <w:i/>
          <w:iCs/>
          <w:lang w:val="es-419"/>
        </w:rPr>
        <w:t xml:space="preserve">Tenga en cuenta que la tabla que se presenta a continuación representa </w:t>
      </w:r>
      <w:r w:rsidRPr="00EF48E5">
        <w:rPr>
          <w:b/>
          <w:bCs/>
          <w:i/>
          <w:iCs/>
          <w:lang w:val="es-419"/>
        </w:rPr>
        <w:t>un ejemplo</w:t>
      </w:r>
      <w:r w:rsidR="00ED622F">
        <w:rPr>
          <w:b/>
          <w:bCs/>
          <w:i/>
          <w:iCs/>
          <w:lang w:val="es-419"/>
        </w:rPr>
        <w:t>.</w:t>
      </w:r>
      <w:r w:rsidRPr="00EF48E5">
        <w:rPr>
          <w:i/>
          <w:iCs/>
          <w:lang w:val="es-419"/>
        </w:rPr>
        <w:t xml:space="preserve"> Las partes interesadas y la persona responsable pueden diferir entre los subproyectos. Incluya las partes interesadas y la persona responsable que sean relevantes para su proyecto.</w:t>
      </w:r>
    </w:p>
    <w:tbl>
      <w:tblPr>
        <w:tblStyle w:val="TableGrid"/>
        <w:tblW w:w="0" w:type="auto"/>
        <w:tblLook w:val="04A0" w:firstRow="1" w:lastRow="0" w:firstColumn="1" w:lastColumn="0" w:noHBand="0" w:noVBand="1"/>
      </w:tblPr>
      <w:tblGrid>
        <w:gridCol w:w="1626"/>
        <w:gridCol w:w="1789"/>
        <w:gridCol w:w="2497"/>
        <w:gridCol w:w="2497"/>
        <w:gridCol w:w="1661"/>
        <w:gridCol w:w="2644"/>
        <w:gridCol w:w="2783"/>
        <w:gridCol w:w="1773"/>
      </w:tblGrid>
      <w:tr w:rsidR="005F2A0B" w:rsidRPr="00EF48E5" w14:paraId="240CA4FB" w14:textId="77777777" w:rsidTr="001B362D">
        <w:trPr>
          <w:trHeight w:val="1103"/>
          <w:tblHeader/>
        </w:trPr>
        <w:tc>
          <w:tcPr>
            <w:tcW w:w="1957" w:type="dxa"/>
            <w:shd w:val="clear" w:color="auto" w:fill="D9E2F3" w:themeFill="accent1" w:themeFillTint="33"/>
          </w:tcPr>
          <w:p w14:paraId="66B85D23" w14:textId="77777777" w:rsidR="005F2A0B" w:rsidRPr="00EF48E5" w:rsidRDefault="005F2A0B" w:rsidP="001B362D">
            <w:pPr>
              <w:rPr>
                <w:b/>
                <w:bCs/>
                <w:lang w:val="es-419"/>
              </w:rPr>
            </w:pPr>
            <w:r w:rsidRPr="00EF48E5">
              <w:rPr>
                <w:b/>
                <w:bCs/>
                <w:lang w:val="es-419"/>
              </w:rPr>
              <w:t>Interesado</w:t>
            </w:r>
          </w:p>
        </w:tc>
        <w:tc>
          <w:tcPr>
            <w:tcW w:w="1957" w:type="dxa"/>
            <w:shd w:val="clear" w:color="auto" w:fill="D9E2F3" w:themeFill="accent1" w:themeFillTint="33"/>
          </w:tcPr>
          <w:p w14:paraId="49D9E872" w14:textId="77777777" w:rsidR="005F2A0B" w:rsidRPr="00EF48E5" w:rsidRDefault="005F2A0B" w:rsidP="001B362D">
            <w:pPr>
              <w:rPr>
                <w:b/>
                <w:bCs/>
                <w:lang w:val="es-419"/>
              </w:rPr>
            </w:pPr>
            <w:proofErr w:type="gramStart"/>
            <w:r w:rsidRPr="00EF48E5">
              <w:rPr>
                <w:b/>
                <w:bCs/>
                <w:lang w:val="es-419"/>
              </w:rPr>
              <w:t>Información a ser divulgada</w:t>
            </w:r>
            <w:proofErr w:type="gramEnd"/>
          </w:p>
        </w:tc>
        <w:tc>
          <w:tcPr>
            <w:tcW w:w="1958" w:type="dxa"/>
            <w:shd w:val="clear" w:color="auto" w:fill="D9E2F3" w:themeFill="accent1" w:themeFillTint="33"/>
          </w:tcPr>
          <w:p w14:paraId="47B74A5C" w14:textId="77777777" w:rsidR="005F2A0B" w:rsidRPr="00EF48E5" w:rsidRDefault="005F2A0B" w:rsidP="001B362D">
            <w:pPr>
              <w:rPr>
                <w:b/>
                <w:bCs/>
                <w:lang w:val="es-419"/>
              </w:rPr>
            </w:pPr>
            <w:r w:rsidRPr="00EF48E5">
              <w:rPr>
                <w:b/>
                <w:bCs/>
                <w:lang w:val="es-419"/>
              </w:rPr>
              <w:t>Métodos de divulgación/compromiso</w:t>
            </w:r>
          </w:p>
        </w:tc>
        <w:tc>
          <w:tcPr>
            <w:tcW w:w="1958" w:type="dxa"/>
            <w:shd w:val="clear" w:color="auto" w:fill="D9E2F3" w:themeFill="accent1" w:themeFillTint="33"/>
          </w:tcPr>
          <w:p w14:paraId="5DAC894E" w14:textId="77777777" w:rsidR="005F2A0B" w:rsidRPr="00EF48E5" w:rsidRDefault="005F2A0B" w:rsidP="001B362D">
            <w:pPr>
              <w:rPr>
                <w:b/>
                <w:bCs/>
                <w:lang w:val="es-419"/>
              </w:rPr>
            </w:pPr>
            <w:r w:rsidRPr="00EF48E5">
              <w:rPr>
                <w:b/>
                <w:bCs/>
                <w:lang w:val="es-419"/>
              </w:rPr>
              <w:t>Momento de la divulgación/compromiso</w:t>
            </w:r>
          </w:p>
        </w:tc>
        <w:tc>
          <w:tcPr>
            <w:tcW w:w="1958" w:type="dxa"/>
            <w:shd w:val="clear" w:color="auto" w:fill="D9E2F3" w:themeFill="accent1" w:themeFillTint="33"/>
          </w:tcPr>
          <w:p w14:paraId="3F1C6607" w14:textId="77777777" w:rsidR="005F2A0B" w:rsidRPr="00EF48E5" w:rsidRDefault="005F2A0B" w:rsidP="001B362D">
            <w:pPr>
              <w:rPr>
                <w:b/>
                <w:bCs/>
                <w:lang w:val="es-419"/>
              </w:rPr>
            </w:pPr>
            <w:r w:rsidRPr="00EF48E5">
              <w:rPr>
                <w:b/>
                <w:bCs/>
                <w:lang w:val="es-419"/>
              </w:rPr>
              <w:t>Necesidades especiales de las partes interesadas</w:t>
            </w:r>
          </w:p>
        </w:tc>
        <w:tc>
          <w:tcPr>
            <w:tcW w:w="1958" w:type="dxa"/>
            <w:shd w:val="clear" w:color="auto" w:fill="D9E2F3" w:themeFill="accent1" w:themeFillTint="33"/>
          </w:tcPr>
          <w:p w14:paraId="3F82FB93" w14:textId="0C4A3561" w:rsidR="005F2A0B" w:rsidRPr="00EF48E5" w:rsidRDefault="005F2A0B" w:rsidP="001B362D">
            <w:pPr>
              <w:rPr>
                <w:b/>
                <w:bCs/>
                <w:lang w:val="es-419"/>
              </w:rPr>
            </w:pPr>
            <w:r w:rsidRPr="00EF48E5">
              <w:rPr>
                <w:b/>
                <w:bCs/>
                <w:lang w:val="es-419"/>
              </w:rPr>
              <w:t xml:space="preserve">Barreras para el </w:t>
            </w:r>
            <w:r w:rsidR="00CC67C3">
              <w:rPr>
                <w:b/>
                <w:bCs/>
                <w:lang w:val="es-419"/>
              </w:rPr>
              <w:t>c</w:t>
            </w:r>
            <w:r w:rsidRPr="00EF48E5">
              <w:rPr>
                <w:b/>
                <w:bCs/>
                <w:lang w:val="es-419"/>
              </w:rPr>
              <w:t>ompromiso/</w:t>
            </w:r>
            <w:r w:rsidR="00CC67C3">
              <w:rPr>
                <w:b/>
                <w:bCs/>
                <w:lang w:val="es-419"/>
              </w:rPr>
              <w:t>p</w:t>
            </w:r>
            <w:r w:rsidRPr="00EF48E5">
              <w:rPr>
                <w:b/>
                <w:bCs/>
                <w:lang w:val="es-419"/>
              </w:rPr>
              <w:t>articipación</w:t>
            </w:r>
          </w:p>
        </w:tc>
        <w:tc>
          <w:tcPr>
            <w:tcW w:w="2919" w:type="dxa"/>
            <w:shd w:val="clear" w:color="auto" w:fill="D9E2F3" w:themeFill="accent1" w:themeFillTint="33"/>
          </w:tcPr>
          <w:p w14:paraId="1EFA18DC" w14:textId="77777777" w:rsidR="005F2A0B" w:rsidRPr="00EF48E5" w:rsidRDefault="005F2A0B" w:rsidP="001B362D">
            <w:pPr>
              <w:rPr>
                <w:b/>
                <w:bCs/>
                <w:lang w:val="es-419"/>
              </w:rPr>
            </w:pPr>
            <w:proofErr w:type="gramStart"/>
            <w:r w:rsidRPr="00EF48E5">
              <w:rPr>
                <w:b/>
                <w:bCs/>
                <w:lang w:val="es-419"/>
              </w:rPr>
              <w:t>Acciones a tomar</w:t>
            </w:r>
            <w:proofErr w:type="gramEnd"/>
            <w:r w:rsidRPr="00EF48E5">
              <w:rPr>
                <w:b/>
                <w:bCs/>
                <w:lang w:val="es-419"/>
              </w:rPr>
              <w:t xml:space="preserve"> para reducir las barreras al compromiso/participación</w:t>
            </w:r>
          </w:p>
        </w:tc>
        <w:tc>
          <w:tcPr>
            <w:tcW w:w="2211" w:type="dxa"/>
            <w:shd w:val="clear" w:color="auto" w:fill="D9E2F3" w:themeFill="accent1" w:themeFillTint="33"/>
          </w:tcPr>
          <w:p w14:paraId="7B987D52" w14:textId="77777777" w:rsidR="005F2A0B" w:rsidRPr="00EF48E5" w:rsidRDefault="005F2A0B" w:rsidP="001B362D">
            <w:pPr>
              <w:rPr>
                <w:b/>
                <w:bCs/>
                <w:lang w:val="es-419"/>
              </w:rPr>
            </w:pPr>
            <w:r w:rsidRPr="00EF48E5">
              <w:rPr>
                <w:b/>
                <w:bCs/>
                <w:lang w:val="es-419"/>
              </w:rPr>
              <w:t>Persona responsable</w:t>
            </w:r>
          </w:p>
        </w:tc>
      </w:tr>
      <w:tr w:rsidR="005F2A0B" w:rsidRPr="00EF48E5" w14:paraId="780542BF" w14:textId="77777777" w:rsidTr="001B362D">
        <w:trPr>
          <w:trHeight w:val="180"/>
        </w:trPr>
        <w:tc>
          <w:tcPr>
            <w:tcW w:w="16876" w:type="dxa"/>
            <w:gridSpan w:val="8"/>
            <w:shd w:val="clear" w:color="auto" w:fill="E2EFD9" w:themeFill="accent6" w:themeFillTint="33"/>
          </w:tcPr>
          <w:p w14:paraId="14220422" w14:textId="774B9ED1" w:rsidR="005F2A0B" w:rsidRPr="00EF48E5" w:rsidRDefault="005F2A0B" w:rsidP="001B362D">
            <w:pPr>
              <w:rPr>
                <w:i/>
                <w:iCs/>
                <w:lang w:val="es-419"/>
              </w:rPr>
            </w:pPr>
            <w:r w:rsidRPr="00EF48E5">
              <w:rPr>
                <w:b/>
                <w:bCs/>
                <w:lang w:val="es-419"/>
              </w:rPr>
              <w:t xml:space="preserve">Partes </w:t>
            </w:r>
            <w:r w:rsidR="00CC67C3">
              <w:rPr>
                <w:b/>
                <w:bCs/>
                <w:lang w:val="es-419"/>
              </w:rPr>
              <w:t>a</w:t>
            </w:r>
            <w:r w:rsidRPr="00EF48E5">
              <w:rPr>
                <w:b/>
                <w:bCs/>
                <w:lang w:val="es-419"/>
              </w:rPr>
              <w:t xml:space="preserve">fectadas </w:t>
            </w:r>
            <w:r w:rsidRPr="00EF48E5">
              <w:rPr>
                <w:i/>
                <w:iCs/>
                <w:lang w:val="es-419"/>
              </w:rPr>
              <w:t>(Enumere cada parte interesada en una fila diferente)</w:t>
            </w:r>
          </w:p>
        </w:tc>
      </w:tr>
      <w:tr w:rsidR="005F2A0B" w:rsidRPr="00EF48E5" w14:paraId="7DC1F719" w14:textId="77777777" w:rsidTr="001B362D">
        <w:trPr>
          <w:trHeight w:val="180"/>
        </w:trPr>
        <w:tc>
          <w:tcPr>
            <w:tcW w:w="1957" w:type="dxa"/>
          </w:tcPr>
          <w:p w14:paraId="7CDE94A4" w14:textId="77777777" w:rsidR="005F2A0B" w:rsidRPr="00EF48E5" w:rsidRDefault="005F2A0B" w:rsidP="001B362D">
            <w:pPr>
              <w:rPr>
                <w:i/>
                <w:iCs/>
                <w:lang w:val="es-419"/>
              </w:rPr>
            </w:pPr>
            <w:r w:rsidRPr="00EF48E5">
              <w:rPr>
                <w:i/>
                <w:iCs/>
                <w:lang w:val="es-419"/>
              </w:rPr>
              <w:t>Comunidad A</w:t>
            </w:r>
          </w:p>
        </w:tc>
        <w:tc>
          <w:tcPr>
            <w:tcW w:w="1957" w:type="dxa"/>
          </w:tcPr>
          <w:p w14:paraId="01F95024" w14:textId="77777777" w:rsidR="005F2A0B" w:rsidRPr="00EF48E5" w:rsidRDefault="005F2A0B" w:rsidP="001B362D">
            <w:pPr>
              <w:rPr>
                <w:lang w:val="es-419"/>
              </w:rPr>
            </w:pPr>
            <w:r w:rsidRPr="00EF48E5">
              <w:rPr>
                <w:lang w:val="es-419"/>
              </w:rPr>
              <w:t>-Actividades, riesgos e impactos del proyecto</w:t>
            </w:r>
          </w:p>
          <w:p w14:paraId="54843298" w14:textId="77777777" w:rsidR="005F2A0B" w:rsidRPr="00EF48E5" w:rsidRDefault="005F2A0B" w:rsidP="001B362D">
            <w:pPr>
              <w:rPr>
                <w:lang w:val="es-419"/>
              </w:rPr>
            </w:pPr>
            <w:r w:rsidRPr="00EF48E5">
              <w:rPr>
                <w:lang w:val="es-419"/>
              </w:rPr>
              <w:t>-Proyecto GRM</w:t>
            </w:r>
          </w:p>
          <w:p w14:paraId="6E95CFEE" w14:textId="77777777" w:rsidR="005F2A0B" w:rsidRPr="00EF48E5" w:rsidRDefault="005F2A0B" w:rsidP="001B362D">
            <w:pPr>
              <w:rPr>
                <w:lang w:val="es-419"/>
              </w:rPr>
            </w:pPr>
          </w:p>
          <w:p w14:paraId="0456BEB9" w14:textId="77777777" w:rsidR="005F2A0B" w:rsidRPr="00EF48E5" w:rsidRDefault="005F2A0B" w:rsidP="001B362D">
            <w:pPr>
              <w:rPr>
                <w:lang w:val="es-419"/>
              </w:rPr>
            </w:pPr>
          </w:p>
          <w:p w14:paraId="0EDF69FF" w14:textId="77777777" w:rsidR="005F2A0B" w:rsidRPr="00EF48E5" w:rsidRDefault="005F2A0B" w:rsidP="001B362D">
            <w:pPr>
              <w:rPr>
                <w:lang w:val="es-419"/>
              </w:rPr>
            </w:pPr>
          </w:p>
        </w:tc>
        <w:tc>
          <w:tcPr>
            <w:tcW w:w="1958" w:type="dxa"/>
          </w:tcPr>
          <w:p w14:paraId="2BF20440" w14:textId="77777777" w:rsidR="005F2A0B" w:rsidRPr="00EF48E5" w:rsidRDefault="005F2A0B" w:rsidP="001B362D">
            <w:pPr>
              <w:rPr>
                <w:lang w:val="es-419"/>
              </w:rPr>
            </w:pPr>
            <w:r w:rsidRPr="00EF48E5">
              <w:rPr>
                <w:lang w:val="es-419"/>
              </w:rPr>
              <w:t>-Reunión de la comunidad</w:t>
            </w:r>
          </w:p>
          <w:p w14:paraId="7E99CFF5" w14:textId="6C545337" w:rsidR="005F2A0B" w:rsidRPr="00EF48E5" w:rsidRDefault="005F2A0B" w:rsidP="001B362D">
            <w:pPr>
              <w:rPr>
                <w:lang w:val="es-419"/>
              </w:rPr>
            </w:pPr>
            <w:r w:rsidRPr="00EF48E5">
              <w:rPr>
                <w:lang w:val="es-419"/>
              </w:rPr>
              <w:t>-Folleto/</w:t>
            </w:r>
            <w:r w:rsidR="00CC67C3">
              <w:rPr>
                <w:lang w:val="es-419"/>
              </w:rPr>
              <w:t>p</w:t>
            </w:r>
            <w:r w:rsidRPr="00EF48E5">
              <w:rPr>
                <w:lang w:val="es-419"/>
              </w:rPr>
              <w:t>óster en el tablón de anuncios de la comunidad</w:t>
            </w:r>
          </w:p>
          <w:p w14:paraId="6DCBD97F" w14:textId="77777777" w:rsidR="005F2A0B" w:rsidRPr="00EF48E5" w:rsidRDefault="005F2A0B" w:rsidP="001B362D">
            <w:pPr>
              <w:rPr>
                <w:lang w:val="es-419"/>
              </w:rPr>
            </w:pPr>
            <w:r w:rsidRPr="00EF48E5">
              <w:rPr>
                <w:lang w:val="es-419"/>
              </w:rPr>
              <w:t>-Mensajes de texto</w:t>
            </w:r>
          </w:p>
        </w:tc>
        <w:tc>
          <w:tcPr>
            <w:tcW w:w="1958" w:type="dxa"/>
          </w:tcPr>
          <w:p w14:paraId="4063C1C4" w14:textId="77777777" w:rsidR="005F2A0B" w:rsidRPr="00EF48E5" w:rsidRDefault="005F2A0B" w:rsidP="001B362D">
            <w:pPr>
              <w:rPr>
                <w:lang w:val="es-419"/>
              </w:rPr>
            </w:pPr>
            <w:r w:rsidRPr="00EF48E5">
              <w:rPr>
                <w:lang w:val="es-419"/>
              </w:rPr>
              <w:t>-Antes del inicio de las actividades del proyecto (o puede ser más específico si se conoce)</w:t>
            </w:r>
          </w:p>
        </w:tc>
        <w:tc>
          <w:tcPr>
            <w:tcW w:w="1958" w:type="dxa"/>
          </w:tcPr>
          <w:p w14:paraId="4E0D53F2" w14:textId="77777777" w:rsidR="005F2A0B" w:rsidRPr="00EF48E5" w:rsidRDefault="005F2A0B" w:rsidP="001B362D">
            <w:pPr>
              <w:rPr>
                <w:lang w:val="es-419"/>
              </w:rPr>
            </w:pPr>
            <w:r w:rsidRPr="00EF48E5">
              <w:rPr>
                <w:lang w:val="es-419"/>
              </w:rPr>
              <w:t>-Información traducida y difundida al dialecto local.</w:t>
            </w:r>
          </w:p>
        </w:tc>
        <w:tc>
          <w:tcPr>
            <w:tcW w:w="1958" w:type="dxa"/>
          </w:tcPr>
          <w:p w14:paraId="705A3949" w14:textId="77777777" w:rsidR="005F2A0B" w:rsidRPr="00EF48E5" w:rsidRDefault="005F2A0B" w:rsidP="001B362D">
            <w:pPr>
              <w:rPr>
                <w:lang w:val="es-419"/>
              </w:rPr>
            </w:pPr>
            <w:r w:rsidRPr="00EF48E5">
              <w:rPr>
                <w:lang w:val="es-419"/>
              </w:rPr>
              <w:t>-Algunas partes de la comunidad son muy remotas y los residentes no tienen transporte para asistir a las reuniones o ir a la oficina para presentar quejas.</w:t>
            </w:r>
          </w:p>
          <w:p w14:paraId="5054A592" w14:textId="77777777" w:rsidR="005F2A0B" w:rsidRPr="00EF48E5" w:rsidRDefault="005F2A0B" w:rsidP="001B362D">
            <w:pPr>
              <w:rPr>
                <w:lang w:val="es-419"/>
              </w:rPr>
            </w:pPr>
          </w:p>
        </w:tc>
        <w:tc>
          <w:tcPr>
            <w:tcW w:w="2919" w:type="dxa"/>
          </w:tcPr>
          <w:p w14:paraId="5A60BC36" w14:textId="77777777" w:rsidR="005F2A0B" w:rsidRPr="00EF48E5" w:rsidRDefault="005F2A0B" w:rsidP="001B362D">
            <w:pPr>
              <w:rPr>
                <w:lang w:val="es-419"/>
              </w:rPr>
            </w:pPr>
            <w:r w:rsidRPr="00EF48E5">
              <w:rPr>
                <w:lang w:val="es-419"/>
              </w:rPr>
              <w:t>-Proporcionar transporte al lugar de la reunión / presentar una queja</w:t>
            </w:r>
          </w:p>
          <w:p w14:paraId="4C214C37" w14:textId="77777777" w:rsidR="005F2A0B" w:rsidRPr="00EF48E5" w:rsidRDefault="005F2A0B" w:rsidP="001B362D">
            <w:pPr>
              <w:rPr>
                <w:lang w:val="es-419"/>
              </w:rPr>
            </w:pPr>
          </w:p>
          <w:p w14:paraId="3475C9B3" w14:textId="31EC0D27" w:rsidR="005F2A0B" w:rsidRPr="00EF48E5" w:rsidRDefault="005F2A0B" w:rsidP="001B362D">
            <w:pPr>
              <w:rPr>
                <w:lang w:val="es-419"/>
              </w:rPr>
            </w:pPr>
            <w:r w:rsidRPr="00EF48E5">
              <w:rPr>
                <w:lang w:val="es-419"/>
              </w:rPr>
              <w:t>-</w:t>
            </w:r>
            <w:r w:rsidRPr="000B4607">
              <w:rPr>
                <w:lang w:val="es-419"/>
              </w:rPr>
              <w:t xml:space="preserve">Hacer que la persona responsable de recibir la queja vaya </w:t>
            </w:r>
            <w:r w:rsidR="00FB51EB" w:rsidRPr="000B4607">
              <w:rPr>
                <w:lang w:val="es-419"/>
              </w:rPr>
              <w:t xml:space="preserve">donde está </w:t>
            </w:r>
            <w:r w:rsidRPr="000B4607">
              <w:rPr>
                <w:lang w:val="es-419"/>
              </w:rPr>
              <w:t>la persona</w:t>
            </w:r>
          </w:p>
          <w:p w14:paraId="25C7AB33" w14:textId="77777777" w:rsidR="005F2A0B" w:rsidRPr="00EF48E5" w:rsidRDefault="005F2A0B" w:rsidP="001B362D">
            <w:pPr>
              <w:rPr>
                <w:lang w:val="es-419"/>
              </w:rPr>
            </w:pPr>
          </w:p>
          <w:p w14:paraId="77FF8ED4" w14:textId="77777777" w:rsidR="005F2A0B" w:rsidRPr="00EF48E5" w:rsidRDefault="005F2A0B" w:rsidP="001B362D">
            <w:pPr>
              <w:rPr>
                <w:lang w:val="es-419"/>
              </w:rPr>
            </w:pPr>
            <w:r w:rsidRPr="00EF48E5">
              <w:rPr>
                <w:lang w:val="es-419"/>
              </w:rPr>
              <w:t>-Organizar reuniones separadas con grupos en partes remotas de las comunidades</w:t>
            </w:r>
          </w:p>
          <w:p w14:paraId="221749E9" w14:textId="77777777" w:rsidR="005F2A0B" w:rsidRPr="00EF48E5" w:rsidRDefault="005F2A0B" w:rsidP="001B362D">
            <w:pPr>
              <w:rPr>
                <w:lang w:val="es-419"/>
              </w:rPr>
            </w:pPr>
          </w:p>
        </w:tc>
        <w:tc>
          <w:tcPr>
            <w:tcW w:w="2211" w:type="dxa"/>
          </w:tcPr>
          <w:p w14:paraId="727B42E3" w14:textId="77777777" w:rsidR="005F2A0B" w:rsidRPr="00EF48E5" w:rsidRDefault="005F2A0B" w:rsidP="001B362D">
            <w:pPr>
              <w:rPr>
                <w:lang w:val="es-419"/>
              </w:rPr>
            </w:pPr>
            <w:r w:rsidRPr="00EF48E5">
              <w:rPr>
                <w:lang w:val="es-419"/>
              </w:rPr>
              <w:t>Gerente de proyecto</w:t>
            </w:r>
          </w:p>
        </w:tc>
      </w:tr>
      <w:tr w:rsidR="005F2A0B" w:rsidRPr="00EF48E5" w14:paraId="22FCB8FF" w14:textId="77777777" w:rsidTr="001B362D">
        <w:trPr>
          <w:trHeight w:val="180"/>
        </w:trPr>
        <w:tc>
          <w:tcPr>
            <w:tcW w:w="16876" w:type="dxa"/>
            <w:gridSpan w:val="8"/>
            <w:shd w:val="clear" w:color="auto" w:fill="E2EFD9" w:themeFill="accent6" w:themeFillTint="33"/>
          </w:tcPr>
          <w:p w14:paraId="15316502" w14:textId="77777777" w:rsidR="005F2A0B" w:rsidRPr="00EF48E5" w:rsidRDefault="005F2A0B" w:rsidP="001B362D">
            <w:pPr>
              <w:rPr>
                <w:i/>
                <w:iCs/>
                <w:lang w:val="es-419"/>
              </w:rPr>
            </w:pPr>
            <w:r w:rsidRPr="00EF48E5">
              <w:rPr>
                <w:b/>
                <w:bCs/>
                <w:lang w:val="es-419"/>
              </w:rPr>
              <w:t xml:space="preserve">Otras partes interesadas </w:t>
            </w:r>
            <w:r w:rsidRPr="00EF48E5">
              <w:rPr>
                <w:i/>
                <w:iCs/>
                <w:lang w:val="es-419"/>
              </w:rPr>
              <w:t>(enumere cada parte interesada en una fila diferente)</w:t>
            </w:r>
          </w:p>
        </w:tc>
      </w:tr>
      <w:tr w:rsidR="005F2A0B" w:rsidRPr="00EF48E5" w14:paraId="1488E906" w14:textId="77777777" w:rsidTr="001B362D">
        <w:trPr>
          <w:trHeight w:val="180"/>
        </w:trPr>
        <w:tc>
          <w:tcPr>
            <w:tcW w:w="1957" w:type="dxa"/>
          </w:tcPr>
          <w:p w14:paraId="5451DC1D" w14:textId="77777777" w:rsidR="005F2A0B" w:rsidRPr="00EF48E5" w:rsidRDefault="005F2A0B" w:rsidP="001B362D">
            <w:pPr>
              <w:rPr>
                <w:i/>
                <w:iCs/>
                <w:lang w:val="es-419"/>
              </w:rPr>
            </w:pPr>
            <w:r w:rsidRPr="00EF48E5">
              <w:rPr>
                <w:i/>
                <w:iCs/>
                <w:lang w:val="es-419"/>
              </w:rPr>
              <w:t>Ministerio de Medio Ambiente</w:t>
            </w:r>
          </w:p>
        </w:tc>
        <w:tc>
          <w:tcPr>
            <w:tcW w:w="1957" w:type="dxa"/>
          </w:tcPr>
          <w:p w14:paraId="63761754" w14:textId="77777777" w:rsidR="005F2A0B" w:rsidRPr="00EF48E5" w:rsidRDefault="005F2A0B" w:rsidP="001B362D">
            <w:pPr>
              <w:rPr>
                <w:lang w:val="es-419"/>
              </w:rPr>
            </w:pPr>
            <w:r w:rsidRPr="00EF48E5">
              <w:rPr>
                <w:lang w:val="es-419"/>
              </w:rPr>
              <w:t>-Actividades, riesgos e impactos del proyecto</w:t>
            </w:r>
          </w:p>
          <w:p w14:paraId="4469E6B4" w14:textId="77777777" w:rsidR="005F2A0B" w:rsidRPr="00EF48E5" w:rsidRDefault="005F2A0B" w:rsidP="001B362D">
            <w:pPr>
              <w:rPr>
                <w:lang w:val="es-419"/>
              </w:rPr>
            </w:pPr>
          </w:p>
          <w:p w14:paraId="2DC46487" w14:textId="77777777" w:rsidR="005F2A0B" w:rsidRPr="00EF48E5" w:rsidRDefault="005F2A0B" w:rsidP="001B362D">
            <w:pPr>
              <w:rPr>
                <w:lang w:val="es-419"/>
              </w:rPr>
            </w:pPr>
            <w:r w:rsidRPr="00EF48E5">
              <w:rPr>
                <w:lang w:val="es-419"/>
              </w:rPr>
              <w:t>-Progreso del proyecto</w:t>
            </w:r>
          </w:p>
          <w:p w14:paraId="6251606A" w14:textId="77777777" w:rsidR="005F2A0B" w:rsidRPr="00EF48E5" w:rsidRDefault="005F2A0B" w:rsidP="001B362D">
            <w:pPr>
              <w:rPr>
                <w:lang w:val="es-419"/>
              </w:rPr>
            </w:pPr>
          </w:p>
        </w:tc>
        <w:tc>
          <w:tcPr>
            <w:tcW w:w="1958" w:type="dxa"/>
          </w:tcPr>
          <w:p w14:paraId="66ECA663" w14:textId="77777777" w:rsidR="005F2A0B" w:rsidRPr="00EF48E5" w:rsidRDefault="005F2A0B" w:rsidP="001B362D">
            <w:pPr>
              <w:rPr>
                <w:lang w:val="es-419"/>
              </w:rPr>
            </w:pPr>
            <w:r w:rsidRPr="00EF48E5">
              <w:rPr>
                <w:lang w:val="es-419"/>
              </w:rPr>
              <w:t>-Correo electrónico</w:t>
            </w:r>
          </w:p>
        </w:tc>
        <w:tc>
          <w:tcPr>
            <w:tcW w:w="1958" w:type="dxa"/>
          </w:tcPr>
          <w:p w14:paraId="1FB802AD" w14:textId="77777777" w:rsidR="005F2A0B" w:rsidRPr="00EF48E5" w:rsidRDefault="005F2A0B" w:rsidP="001B362D">
            <w:pPr>
              <w:rPr>
                <w:lang w:val="es-419"/>
              </w:rPr>
            </w:pPr>
            <w:r w:rsidRPr="00EF48E5">
              <w:rPr>
                <w:lang w:val="es-419"/>
              </w:rPr>
              <w:t>-Previo al inicio de las actividades del proyecto</w:t>
            </w:r>
          </w:p>
          <w:p w14:paraId="714B7119" w14:textId="77777777" w:rsidR="005F2A0B" w:rsidRPr="00EF48E5" w:rsidRDefault="005F2A0B" w:rsidP="001B362D">
            <w:pPr>
              <w:rPr>
                <w:lang w:val="es-419"/>
              </w:rPr>
            </w:pPr>
          </w:p>
          <w:p w14:paraId="763ECC82" w14:textId="77777777" w:rsidR="005F2A0B" w:rsidRPr="00EF48E5" w:rsidRDefault="005F2A0B" w:rsidP="001B362D">
            <w:pPr>
              <w:rPr>
                <w:lang w:val="es-419"/>
              </w:rPr>
            </w:pPr>
            <w:r w:rsidRPr="00EF48E5">
              <w:rPr>
                <w:lang w:val="es-419"/>
              </w:rPr>
              <w:t>-A lo largo de la ejecución del proyecto</w:t>
            </w:r>
          </w:p>
          <w:p w14:paraId="62387DF4" w14:textId="77777777" w:rsidR="005F2A0B" w:rsidRPr="00EF48E5" w:rsidRDefault="005F2A0B" w:rsidP="001B362D">
            <w:pPr>
              <w:rPr>
                <w:lang w:val="es-419"/>
              </w:rPr>
            </w:pPr>
            <w:proofErr w:type="gramStart"/>
            <w:r w:rsidRPr="00EF48E5">
              <w:rPr>
                <w:lang w:val="es-419"/>
              </w:rPr>
              <w:t>( o</w:t>
            </w:r>
            <w:proofErr w:type="gramEnd"/>
            <w:r w:rsidRPr="00EF48E5">
              <w:rPr>
                <w:lang w:val="es-419"/>
              </w:rPr>
              <w:t xml:space="preserve"> puede ser más específico si se conoce)</w:t>
            </w:r>
          </w:p>
        </w:tc>
        <w:tc>
          <w:tcPr>
            <w:tcW w:w="1958" w:type="dxa"/>
          </w:tcPr>
          <w:p w14:paraId="2C44D4AE" w14:textId="77777777" w:rsidR="005F2A0B" w:rsidRPr="00EF48E5" w:rsidRDefault="005F2A0B" w:rsidP="001B362D">
            <w:pPr>
              <w:rPr>
                <w:lang w:val="es-419"/>
              </w:rPr>
            </w:pPr>
            <w:r w:rsidRPr="00EF48E5">
              <w:rPr>
                <w:lang w:val="es-419"/>
              </w:rPr>
              <w:t>N / A</w:t>
            </w:r>
          </w:p>
        </w:tc>
        <w:tc>
          <w:tcPr>
            <w:tcW w:w="1958" w:type="dxa"/>
          </w:tcPr>
          <w:p w14:paraId="679FE549" w14:textId="77777777" w:rsidR="005F2A0B" w:rsidRPr="00EF48E5" w:rsidRDefault="005F2A0B" w:rsidP="001B362D">
            <w:pPr>
              <w:rPr>
                <w:lang w:val="es-419"/>
              </w:rPr>
            </w:pPr>
            <w:r w:rsidRPr="00EF48E5">
              <w:rPr>
                <w:lang w:val="es-419"/>
              </w:rPr>
              <w:t>N / A</w:t>
            </w:r>
          </w:p>
        </w:tc>
        <w:tc>
          <w:tcPr>
            <w:tcW w:w="2919" w:type="dxa"/>
          </w:tcPr>
          <w:p w14:paraId="7C2C05B2" w14:textId="77777777" w:rsidR="005F2A0B" w:rsidRPr="00EF48E5" w:rsidRDefault="005F2A0B" w:rsidP="001B362D">
            <w:pPr>
              <w:rPr>
                <w:lang w:val="es-419"/>
              </w:rPr>
            </w:pPr>
            <w:r w:rsidRPr="00EF48E5">
              <w:rPr>
                <w:lang w:val="es-419"/>
              </w:rPr>
              <w:t>N / A</w:t>
            </w:r>
          </w:p>
        </w:tc>
        <w:tc>
          <w:tcPr>
            <w:tcW w:w="2211" w:type="dxa"/>
          </w:tcPr>
          <w:p w14:paraId="3FE3783F" w14:textId="77777777" w:rsidR="005F2A0B" w:rsidRPr="00EF48E5" w:rsidRDefault="005F2A0B" w:rsidP="001B362D">
            <w:pPr>
              <w:rPr>
                <w:lang w:val="es-419"/>
              </w:rPr>
            </w:pPr>
            <w:r w:rsidRPr="00EF48E5">
              <w:rPr>
                <w:lang w:val="es-419"/>
              </w:rPr>
              <w:t>Gerente de proyecto</w:t>
            </w:r>
          </w:p>
        </w:tc>
      </w:tr>
      <w:tr w:rsidR="005F2A0B" w:rsidRPr="00EF48E5" w14:paraId="7E92A1BA" w14:textId="77777777" w:rsidTr="001B362D">
        <w:trPr>
          <w:trHeight w:val="180"/>
        </w:trPr>
        <w:tc>
          <w:tcPr>
            <w:tcW w:w="16876" w:type="dxa"/>
            <w:gridSpan w:val="8"/>
            <w:shd w:val="clear" w:color="auto" w:fill="E2EFD9" w:themeFill="accent6" w:themeFillTint="33"/>
          </w:tcPr>
          <w:p w14:paraId="63604060" w14:textId="44767E33" w:rsidR="005F2A0B" w:rsidRPr="00EF48E5" w:rsidRDefault="005F2A0B" w:rsidP="001B362D">
            <w:pPr>
              <w:rPr>
                <w:i/>
                <w:iCs/>
                <w:lang w:val="es-419"/>
              </w:rPr>
            </w:pPr>
            <w:r w:rsidRPr="00EF48E5">
              <w:rPr>
                <w:b/>
                <w:bCs/>
                <w:lang w:val="es-419"/>
              </w:rPr>
              <w:lastRenderedPageBreak/>
              <w:t xml:space="preserve">Grupos vulnerables/desfavorecidos </w:t>
            </w:r>
            <w:r w:rsidRPr="00EF48E5">
              <w:rPr>
                <w:i/>
                <w:iCs/>
                <w:lang w:val="es-419"/>
              </w:rPr>
              <w:t xml:space="preserve">(enumere cada parte interesada en una fila diferente) </w:t>
            </w:r>
            <w:r w:rsidR="001F47EA" w:rsidRPr="00EF48E5">
              <w:rPr>
                <w:i/>
                <w:iCs/>
                <w:lang w:val="es-419"/>
              </w:rPr>
              <w:br/>
              <w:t xml:space="preserve">Los grupos vulnerables incluyen: personas con discapacidades, personas lesbianas, </w:t>
            </w:r>
            <w:proofErr w:type="spellStart"/>
            <w:r w:rsidR="001F47EA" w:rsidRPr="00EF48E5">
              <w:rPr>
                <w:i/>
                <w:iCs/>
                <w:lang w:val="es-419"/>
              </w:rPr>
              <w:t>gays</w:t>
            </w:r>
            <w:proofErr w:type="spellEnd"/>
            <w:r w:rsidR="001F47EA" w:rsidRPr="00EF48E5">
              <w:rPr>
                <w:i/>
                <w:iCs/>
                <w:lang w:val="es-419"/>
              </w:rPr>
              <w:t>, bisexuales y transgénero (LGBT), miembros de hogares encabezados por mujeres, organizaciones de mujeres y agricultores sin tierra.</w:t>
            </w:r>
          </w:p>
        </w:tc>
      </w:tr>
      <w:tr w:rsidR="005F2A0B" w:rsidRPr="00EF48E5" w14:paraId="59AF4708" w14:textId="77777777" w:rsidTr="001B362D">
        <w:trPr>
          <w:trHeight w:val="180"/>
        </w:trPr>
        <w:tc>
          <w:tcPr>
            <w:tcW w:w="1957" w:type="dxa"/>
          </w:tcPr>
          <w:p w14:paraId="5A534A44" w14:textId="77777777" w:rsidR="005F2A0B" w:rsidRPr="00EF48E5" w:rsidRDefault="005F2A0B" w:rsidP="001B362D">
            <w:pPr>
              <w:rPr>
                <w:i/>
                <w:iCs/>
                <w:lang w:val="es-419"/>
              </w:rPr>
            </w:pPr>
            <w:r w:rsidRPr="00EF48E5">
              <w:rPr>
                <w:i/>
                <w:iCs/>
                <w:lang w:val="es-419"/>
              </w:rPr>
              <w:t>Agricultores sin tierra</w:t>
            </w:r>
          </w:p>
        </w:tc>
        <w:tc>
          <w:tcPr>
            <w:tcW w:w="1957" w:type="dxa"/>
          </w:tcPr>
          <w:p w14:paraId="4854E98B" w14:textId="77777777" w:rsidR="005F2A0B" w:rsidRPr="00EF48E5" w:rsidRDefault="005F2A0B" w:rsidP="001B362D">
            <w:pPr>
              <w:rPr>
                <w:lang w:val="es-419"/>
              </w:rPr>
            </w:pPr>
            <w:r w:rsidRPr="00EF48E5">
              <w:rPr>
                <w:lang w:val="es-419"/>
              </w:rPr>
              <w:t>-Actividades, riesgos e impactos del proyecto</w:t>
            </w:r>
          </w:p>
          <w:p w14:paraId="7C906756" w14:textId="77777777" w:rsidR="005F2A0B" w:rsidRPr="00EF48E5" w:rsidRDefault="005F2A0B" w:rsidP="001B362D">
            <w:pPr>
              <w:rPr>
                <w:lang w:val="es-419"/>
              </w:rPr>
            </w:pPr>
            <w:r w:rsidRPr="00EF48E5">
              <w:rPr>
                <w:lang w:val="es-419"/>
              </w:rPr>
              <w:t>-Proyecto GRM</w:t>
            </w:r>
          </w:p>
          <w:p w14:paraId="4AD95962" w14:textId="77777777" w:rsidR="005F2A0B" w:rsidRPr="00EF48E5" w:rsidRDefault="005F2A0B" w:rsidP="001B362D">
            <w:pPr>
              <w:rPr>
                <w:lang w:val="es-419"/>
              </w:rPr>
            </w:pPr>
          </w:p>
          <w:p w14:paraId="0F46EA48" w14:textId="77777777" w:rsidR="005F2A0B" w:rsidRPr="00EF48E5" w:rsidRDefault="005F2A0B" w:rsidP="001B362D">
            <w:pPr>
              <w:rPr>
                <w:lang w:val="es-419"/>
              </w:rPr>
            </w:pPr>
          </w:p>
          <w:p w14:paraId="2E96924A" w14:textId="77777777" w:rsidR="005F2A0B" w:rsidRPr="00EF48E5" w:rsidRDefault="005F2A0B" w:rsidP="001B362D">
            <w:pPr>
              <w:rPr>
                <w:lang w:val="es-419"/>
              </w:rPr>
            </w:pPr>
          </w:p>
          <w:p w14:paraId="6176FB52" w14:textId="77777777" w:rsidR="005F2A0B" w:rsidRPr="00EF48E5" w:rsidRDefault="005F2A0B" w:rsidP="001B362D">
            <w:pPr>
              <w:rPr>
                <w:lang w:val="es-419"/>
              </w:rPr>
            </w:pPr>
            <w:r w:rsidRPr="00EF48E5">
              <w:rPr>
                <w:lang w:val="es-419"/>
              </w:rPr>
              <w:t>-Procedimientos de manejo de plagas</w:t>
            </w:r>
          </w:p>
        </w:tc>
        <w:tc>
          <w:tcPr>
            <w:tcW w:w="1958" w:type="dxa"/>
          </w:tcPr>
          <w:p w14:paraId="2C945BD9" w14:textId="77777777" w:rsidR="005F2A0B" w:rsidRPr="00EF48E5" w:rsidRDefault="005F2A0B" w:rsidP="001B362D">
            <w:pPr>
              <w:rPr>
                <w:lang w:val="es-419"/>
              </w:rPr>
            </w:pPr>
            <w:r w:rsidRPr="00EF48E5">
              <w:rPr>
                <w:lang w:val="es-419"/>
              </w:rPr>
              <w:t>-Reunión de la comunidad</w:t>
            </w:r>
          </w:p>
          <w:p w14:paraId="52944C41" w14:textId="5F16C138" w:rsidR="005F2A0B" w:rsidRPr="00EF48E5" w:rsidRDefault="005F2A0B" w:rsidP="001B362D">
            <w:pPr>
              <w:rPr>
                <w:lang w:val="es-419"/>
              </w:rPr>
            </w:pPr>
            <w:r w:rsidRPr="00EF48E5">
              <w:rPr>
                <w:lang w:val="es-419"/>
              </w:rPr>
              <w:t>-Folleto/</w:t>
            </w:r>
            <w:r w:rsidR="00FB51EB">
              <w:rPr>
                <w:lang w:val="es-419"/>
              </w:rPr>
              <w:t>p</w:t>
            </w:r>
            <w:r w:rsidRPr="00EF48E5">
              <w:rPr>
                <w:lang w:val="es-419"/>
              </w:rPr>
              <w:t>óster en el tablón de anuncios de la comunidad</w:t>
            </w:r>
          </w:p>
          <w:p w14:paraId="1E3E2AD7" w14:textId="77777777" w:rsidR="005F2A0B" w:rsidRPr="00EF48E5" w:rsidRDefault="005F2A0B" w:rsidP="001B362D">
            <w:pPr>
              <w:rPr>
                <w:lang w:val="es-419"/>
              </w:rPr>
            </w:pPr>
          </w:p>
        </w:tc>
        <w:tc>
          <w:tcPr>
            <w:tcW w:w="1958" w:type="dxa"/>
          </w:tcPr>
          <w:p w14:paraId="51FE29AF" w14:textId="77777777" w:rsidR="005F2A0B" w:rsidRPr="00EF48E5" w:rsidRDefault="005F2A0B" w:rsidP="001B362D">
            <w:pPr>
              <w:rPr>
                <w:lang w:val="es-419"/>
              </w:rPr>
            </w:pPr>
            <w:r w:rsidRPr="00EF48E5">
              <w:rPr>
                <w:lang w:val="es-419"/>
              </w:rPr>
              <w:t>-Previo al inicio de las actividades del proyecto</w:t>
            </w:r>
          </w:p>
          <w:p w14:paraId="1E920587" w14:textId="77777777" w:rsidR="005F2A0B" w:rsidRPr="00EF48E5" w:rsidRDefault="005F2A0B" w:rsidP="001B362D">
            <w:pPr>
              <w:rPr>
                <w:lang w:val="es-419"/>
              </w:rPr>
            </w:pPr>
          </w:p>
          <w:p w14:paraId="62EAD58C" w14:textId="77777777" w:rsidR="005F2A0B" w:rsidRPr="00EF48E5" w:rsidRDefault="005F2A0B" w:rsidP="001B362D">
            <w:pPr>
              <w:rPr>
                <w:lang w:val="es-419"/>
              </w:rPr>
            </w:pPr>
          </w:p>
          <w:p w14:paraId="660F3CF7" w14:textId="77777777" w:rsidR="005F2A0B" w:rsidRPr="00EF48E5" w:rsidRDefault="005F2A0B" w:rsidP="001B362D">
            <w:pPr>
              <w:rPr>
                <w:lang w:val="es-419"/>
              </w:rPr>
            </w:pPr>
          </w:p>
          <w:p w14:paraId="71A2B927" w14:textId="77777777" w:rsidR="005F2A0B" w:rsidRPr="00EF48E5" w:rsidRDefault="005F2A0B" w:rsidP="001B362D">
            <w:pPr>
              <w:rPr>
                <w:lang w:val="es-419"/>
              </w:rPr>
            </w:pPr>
            <w:r w:rsidRPr="00EF48E5">
              <w:rPr>
                <w:lang w:val="es-419"/>
              </w:rPr>
              <w:t>-Durante la ejecución del proyecto</w:t>
            </w:r>
          </w:p>
          <w:p w14:paraId="0AA5FCD1" w14:textId="77777777" w:rsidR="005F2A0B" w:rsidRPr="00EF48E5" w:rsidRDefault="005F2A0B" w:rsidP="001B362D">
            <w:pPr>
              <w:rPr>
                <w:lang w:val="es-419"/>
              </w:rPr>
            </w:pPr>
            <w:proofErr w:type="gramStart"/>
            <w:r w:rsidRPr="00EF48E5">
              <w:rPr>
                <w:lang w:val="es-419"/>
              </w:rPr>
              <w:t>( o</w:t>
            </w:r>
            <w:proofErr w:type="gramEnd"/>
            <w:r w:rsidRPr="00EF48E5">
              <w:rPr>
                <w:lang w:val="es-419"/>
              </w:rPr>
              <w:t xml:space="preserve"> puede ser más específico si se conoce)</w:t>
            </w:r>
          </w:p>
        </w:tc>
        <w:tc>
          <w:tcPr>
            <w:tcW w:w="1958" w:type="dxa"/>
          </w:tcPr>
          <w:p w14:paraId="1CE083EB" w14:textId="77777777" w:rsidR="005F2A0B" w:rsidRPr="00EF48E5" w:rsidRDefault="005F2A0B" w:rsidP="001B362D">
            <w:pPr>
              <w:rPr>
                <w:lang w:val="es-419"/>
              </w:rPr>
            </w:pPr>
            <w:r w:rsidRPr="00EF48E5">
              <w:rPr>
                <w:lang w:val="es-419"/>
              </w:rPr>
              <w:t>-Información traducida y difundida al dialecto local.</w:t>
            </w:r>
          </w:p>
        </w:tc>
        <w:tc>
          <w:tcPr>
            <w:tcW w:w="1958" w:type="dxa"/>
          </w:tcPr>
          <w:p w14:paraId="6C31855E" w14:textId="77777777" w:rsidR="005F2A0B" w:rsidRPr="00EF48E5" w:rsidRDefault="005F2A0B" w:rsidP="001B362D">
            <w:pPr>
              <w:rPr>
                <w:lang w:val="es-419"/>
              </w:rPr>
            </w:pPr>
            <w:r w:rsidRPr="00EF48E5">
              <w:rPr>
                <w:lang w:val="es-419"/>
              </w:rPr>
              <w:t>-No puedo asistir a las reuniones por la mañana.</w:t>
            </w:r>
          </w:p>
          <w:p w14:paraId="42D64D6D" w14:textId="77777777" w:rsidR="005F2A0B" w:rsidRPr="00EF48E5" w:rsidRDefault="005F2A0B" w:rsidP="001B362D">
            <w:pPr>
              <w:rPr>
                <w:lang w:val="es-419"/>
              </w:rPr>
            </w:pPr>
          </w:p>
          <w:p w14:paraId="32652631" w14:textId="77777777" w:rsidR="005F2A0B" w:rsidRPr="00EF48E5" w:rsidRDefault="005F2A0B" w:rsidP="001B362D">
            <w:pPr>
              <w:rPr>
                <w:lang w:val="es-419"/>
              </w:rPr>
            </w:pPr>
            <w:r w:rsidRPr="00EF48E5">
              <w:rPr>
                <w:lang w:val="es-419"/>
              </w:rPr>
              <w:t>-La mayoría solo habla el dialecto local y no el lenguaje formal</w:t>
            </w:r>
          </w:p>
          <w:p w14:paraId="6D76E63D" w14:textId="77777777" w:rsidR="005F2A0B" w:rsidRPr="00EF48E5" w:rsidRDefault="005F2A0B" w:rsidP="001B362D">
            <w:pPr>
              <w:rPr>
                <w:lang w:val="es-419"/>
              </w:rPr>
            </w:pPr>
          </w:p>
        </w:tc>
        <w:tc>
          <w:tcPr>
            <w:tcW w:w="2919" w:type="dxa"/>
          </w:tcPr>
          <w:p w14:paraId="056B9418" w14:textId="77777777" w:rsidR="005F2A0B" w:rsidRPr="00EF48E5" w:rsidRDefault="005F2A0B" w:rsidP="001B362D">
            <w:pPr>
              <w:rPr>
                <w:lang w:val="es-419"/>
              </w:rPr>
            </w:pPr>
            <w:r w:rsidRPr="00EF48E5">
              <w:rPr>
                <w:lang w:val="es-419"/>
              </w:rPr>
              <w:t>-Organizar reuniones por las tardes.</w:t>
            </w:r>
          </w:p>
          <w:p w14:paraId="0B1D1FC8" w14:textId="77777777" w:rsidR="005F2A0B" w:rsidRPr="00EF48E5" w:rsidRDefault="005F2A0B" w:rsidP="001B362D">
            <w:pPr>
              <w:rPr>
                <w:lang w:val="es-419"/>
              </w:rPr>
            </w:pPr>
          </w:p>
          <w:p w14:paraId="775904EF" w14:textId="77777777" w:rsidR="005F2A0B" w:rsidRPr="00EF48E5" w:rsidRDefault="005F2A0B" w:rsidP="001B362D">
            <w:pPr>
              <w:rPr>
                <w:lang w:val="es-419"/>
              </w:rPr>
            </w:pPr>
          </w:p>
          <w:p w14:paraId="2D1F3764" w14:textId="77777777" w:rsidR="005F2A0B" w:rsidRPr="00EF48E5" w:rsidRDefault="005F2A0B" w:rsidP="001B362D">
            <w:pPr>
              <w:rPr>
                <w:lang w:val="es-419"/>
              </w:rPr>
            </w:pPr>
          </w:p>
          <w:p w14:paraId="219CC6D4" w14:textId="77777777" w:rsidR="005F2A0B" w:rsidRPr="00EF48E5" w:rsidRDefault="005F2A0B" w:rsidP="001B362D">
            <w:pPr>
              <w:rPr>
                <w:lang w:val="es-419"/>
              </w:rPr>
            </w:pPr>
            <w:r w:rsidRPr="00EF48E5">
              <w:rPr>
                <w:lang w:val="es-419"/>
              </w:rPr>
              <w:t>-Contratar traductor/persona que domine el dialecto local</w:t>
            </w:r>
          </w:p>
          <w:p w14:paraId="16848225" w14:textId="77777777" w:rsidR="005F2A0B" w:rsidRPr="00EF48E5" w:rsidRDefault="005F2A0B" w:rsidP="001B362D">
            <w:pPr>
              <w:rPr>
                <w:lang w:val="es-419"/>
              </w:rPr>
            </w:pPr>
          </w:p>
          <w:p w14:paraId="748171B9" w14:textId="77777777" w:rsidR="005F2A0B" w:rsidRPr="00EF48E5" w:rsidRDefault="005F2A0B" w:rsidP="001B362D">
            <w:pPr>
              <w:rPr>
                <w:lang w:val="es-419"/>
              </w:rPr>
            </w:pPr>
          </w:p>
        </w:tc>
        <w:tc>
          <w:tcPr>
            <w:tcW w:w="2211" w:type="dxa"/>
          </w:tcPr>
          <w:p w14:paraId="24F4AD76" w14:textId="77777777" w:rsidR="005F2A0B" w:rsidRPr="00EF48E5" w:rsidRDefault="005F2A0B" w:rsidP="001B362D">
            <w:pPr>
              <w:rPr>
                <w:lang w:val="es-419"/>
              </w:rPr>
            </w:pPr>
            <w:r w:rsidRPr="00EF48E5">
              <w:rPr>
                <w:lang w:val="es-419"/>
              </w:rPr>
              <w:t>Gerente de proyecto</w:t>
            </w:r>
          </w:p>
        </w:tc>
      </w:tr>
    </w:tbl>
    <w:p w14:paraId="3444DC77" w14:textId="77777777" w:rsidR="005F2A0B" w:rsidRPr="00EF48E5" w:rsidRDefault="005F2A0B" w:rsidP="005F2A0B">
      <w:pPr>
        <w:rPr>
          <w:lang w:val="es-419"/>
        </w:rPr>
      </w:pPr>
    </w:p>
    <w:p w14:paraId="50CAA3E9" w14:textId="77777777" w:rsidR="005F2A0B" w:rsidRPr="00EF48E5" w:rsidRDefault="005F2A0B" w:rsidP="005F2A0B">
      <w:pPr>
        <w:tabs>
          <w:tab w:val="left" w:pos="3108"/>
        </w:tabs>
        <w:rPr>
          <w:lang w:val="es-419"/>
        </w:rPr>
        <w:sectPr w:rsidR="005F2A0B" w:rsidRPr="00EF48E5" w:rsidSect="005D22A1">
          <w:pgSz w:w="20160" w:h="12240" w:orient="landscape" w:code="5"/>
          <w:pgMar w:top="1440" w:right="1440" w:bottom="1440" w:left="1440" w:header="720" w:footer="720" w:gutter="0"/>
          <w:cols w:space="720"/>
          <w:docGrid w:linePitch="360"/>
        </w:sectPr>
      </w:pPr>
      <w:r w:rsidRPr="00EF48E5">
        <w:rPr>
          <w:lang w:val="es-419"/>
        </w:rPr>
        <w:tab/>
      </w:r>
    </w:p>
    <w:p w14:paraId="3A47671B" w14:textId="639D53D9" w:rsidR="005F2A0B" w:rsidRPr="00EF48E5" w:rsidRDefault="005F2A0B" w:rsidP="005F2A0B">
      <w:pPr>
        <w:pStyle w:val="Heading1"/>
        <w:rPr>
          <w:lang w:val="es-419"/>
        </w:rPr>
      </w:pPr>
      <w:bookmarkStart w:id="41" w:name="_Toc52881560"/>
      <w:bookmarkStart w:id="42" w:name="_Toc100399006"/>
      <w:bookmarkStart w:id="43" w:name="_Toc51772104"/>
      <w:r w:rsidRPr="00EF48E5">
        <w:rPr>
          <w:lang w:val="es-419"/>
        </w:rPr>
        <w:lastRenderedPageBreak/>
        <w:t>Anexo 3</w:t>
      </w:r>
      <w:r w:rsidR="00EA4CD7">
        <w:rPr>
          <w:lang w:val="es-419"/>
        </w:rPr>
        <w:t>:</w:t>
      </w:r>
      <w:r w:rsidR="00D27815" w:rsidRPr="00EF48E5">
        <w:rPr>
          <w:lang w:val="es-419"/>
        </w:rPr>
        <w:t xml:space="preserve"> Plantilla del plan de participación de las partes interesadas (proyectos de bajo riesgo)</w:t>
      </w:r>
      <w:bookmarkEnd w:id="41"/>
      <w:bookmarkEnd w:id="42"/>
    </w:p>
    <w:p w14:paraId="604B4AE0" w14:textId="77777777" w:rsidR="005F2A0B" w:rsidRPr="00EF48E5" w:rsidRDefault="005F2A0B" w:rsidP="005F2A0B">
      <w:pPr>
        <w:rPr>
          <w:lang w:val="es-419"/>
        </w:rPr>
      </w:pPr>
    </w:p>
    <w:p w14:paraId="43846BEF" w14:textId="77777777" w:rsidR="005F2A0B" w:rsidRPr="00EF48E5" w:rsidRDefault="005F2A0B" w:rsidP="003D2806">
      <w:pPr>
        <w:rPr>
          <w:b/>
          <w:bCs/>
          <w:lang w:val="es-419"/>
        </w:rPr>
      </w:pPr>
      <w:bookmarkStart w:id="44" w:name="_Toc51772098"/>
      <w:bookmarkStart w:id="45" w:name="_Toc52881561"/>
      <w:r w:rsidRPr="00EF48E5">
        <w:rPr>
          <w:b/>
          <w:bCs/>
          <w:lang w:val="es-419"/>
        </w:rPr>
        <w:t>Tabla de contenido</w:t>
      </w:r>
      <w:bookmarkEnd w:id="44"/>
      <w:bookmarkEnd w:id="45"/>
    </w:p>
    <w:p w14:paraId="4A2D93A1" w14:textId="77777777" w:rsidR="005F2A0B" w:rsidRPr="00EF48E5" w:rsidRDefault="005F2A0B" w:rsidP="003D2806">
      <w:pPr>
        <w:rPr>
          <w:b/>
          <w:bCs/>
          <w:lang w:val="es-419"/>
        </w:rPr>
      </w:pPr>
      <w:bookmarkStart w:id="46" w:name="_Toc51772099"/>
      <w:bookmarkStart w:id="47" w:name="_Toc52881562"/>
      <w:r w:rsidRPr="00EF48E5">
        <w:rPr>
          <w:b/>
          <w:bCs/>
          <w:lang w:val="es-419"/>
        </w:rPr>
        <w:t>Lista de acrónimos</w:t>
      </w:r>
      <w:bookmarkEnd w:id="46"/>
      <w:bookmarkEnd w:id="47"/>
    </w:p>
    <w:p w14:paraId="51855F3B" w14:textId="77777777" w:rsidR="005F2A0B" w:rsidRPr="00EF48E5" w:rsidRDefault="005F2A0B" w:rsidP="003D2806">
      <w:pPr>
        <w:rPr>
          <w:b/>
          <w:bCs/>
          <w:lang w:val="es-419"/>
        </w:rPr>
      </w:pPr>
      <w:bookmarkStart w:id="48" w:name="_Toc51772100"/>
      <w:bookmarkStart w:id="49" w:name="_Toc52881563"/>
      <w:r w:rsidRPr="00EF48E5">
        <w:rPr>
          <w:b/>
          <w:bCs/>
          <w:lang w:val="es-419"/>
        </w:rPr>
        <w:t>Introducción</w:t>
      </w:r>
      <w:bookmarkEnd w:id="48"/>
      <w:bookmarkEnd w:id="49"/>
    </w:p>
    <w:p w14:paraId="04A328D0" w14:textId="77777777" w:rsidR="005F2A0B" w:rsidRPr="00EF48E5" w:rsidRDefault="005F2A0B" w:rsidP="003D2806">
      <w:pPr>
        <w:rPr>
          <w:b/>
          <w:bCs/>
          <w:lang w:val="es-419"/>
        </w:rPr>
      </w:pPr>
      <w:bookmarkStart w:id="50" w:name="_Toc51772101"/>
      <w:bookmarkStart w:id="51" w:name="_Toc52881564"/>
      <w:r w:rsidRPr="00EF48E5">
        <w:rPr>
          <w:b/>
          <w:bCs/>
          <w:lang w:val="es-419"/>
        </w:rPr>
        <w:t xml:space="preserve">Descripción general del Proyecto </w:t>
      </w:r>
      <w:proofErr w:type="spellStart"/>
      <w:r w:rsidRPr="00EF48E5">
        <w:rPr>
          <w:b/>
          <w:bCs/>
          <w:lang w:val="es-419"/>
        </w:rPr>
        <w:t>Hotspot</w:t>
      </w:r>
      <w:proofErr w:type="spellEnd"/>
      <w:r w:rsidRPr="00EF48E5">
        <w:rPr>
          <w:b/>
          <w:bCs/>
          <w:lang w:val="es-419"/>
        </w:rPr>
        <w:t xml:space="preserve"> del Caribe</w:t>
      </w:r>
      <w:bookmarkEnd w:id="50"/>
      <w:bookmarkEnd w:id="51"/>
    </w:p>
    <w:p w14:paraId="026166E4" w14:textId="77777777" w:rsidR="005F2A0B" w:rsidRPr="00EF48E5" w:rsidRDefault="005F2A0B" w:rsidP="005F2A0B">
      <w:pPr>
        <w:rPr>
          <w:lang w:val="es-419"/>
        </w:rPr>
      </w:pPr>
      <w:r w:rsidRPr="00EF48E5">
        <w:rPr>
          <w:lang w:val="es-419"/>
        </w:rPr>
        <w:t>Esta sección debe incluir una descripción general del proyecto principal, incluidos sus componentes. Esta descripción puede ser estándar en todos los SEP del subproyecto.</w:t>
      </w:r>
    </w:p>
    <w:p w14:paraId="6DB4FC90" w14:textId="573E30BB" w:rsidR="005F2A0B" w:rsidRPr="00EF48E5" w:rsidRDefault="005F2A0B" w:rsidP="003D2806">
      <w:pPr>
        <w:rPr>
          <w:b/>
          <w:bCs/>
          <w:lang w:val="es-419"/>
        </w:rPr>
      </w:pPr>
      <w:bookmarkStart w:id="52" w:name="_Toc51772102"/>
      <w:bookmarkStart w:id="53" w:name="_Toc52881565"/>
      <w:r w:rsidRPr="00EF48E5">
        <w:rPr>
          <w:b/>
          <w:bCs/>
          <w:lang w:val="es-419"/>
        </w:rPr>
        <w:t xml:space="preserve">Descripción del </w:t>
      </w:r>
      <w:r w:rsidR="00FB51EB">
        <w:rPr>
          <w:b/>
          <w:bCs/>
          <w:lang w:val="es-419"/>
        </w:rPr>
        <w:t>s</w:t>
      </w:r>
      <w:r w:rsidRPr="00EF48E5">
        <w:rPr>
          <w:b/>
          <w:bCs/>
          <w:lang w:val="es-419"/>
        </w:rPr>
        <w:t>ub</w:t>
      </w:r>
      <w:r w:rsidR="00FB51EB">
        <w:rPr>
          <w:b/>
          <w:bCs/>
          <w:lang w:val="es-419"/>
        </w:rPr>
        <w:t>p</w:t>
      </w:r>
      <w:r w:rsidRPr="00EF48E5">
        <w:rPr>
          <w:b/>
          <w:bCs/>
          <w:lang w:val="es-419"/>
        </w:rPr>
        <w:t>royecto</w:t>
      </w:r>
      <w:bookmarkEnd w:id="52"/>
      <w:bookmarkEnd w:id="53"/>
    </w:p>
    <w:p w14:paraId="534A01F2" w14:textId="77777777" w:rsidR="005F2A0B" w:rsidRPr="00EF48E5" w:rsidRDefault="005F2A0B" w:rsidP="005F2A0B">
      <w:pPr>
        <w:rPr>
          <w:lang w:val="es-419"/>
        </w:rPr>
      </w:pPr>
      <w:r w:rsidRPr="00EF48E5">
        <w:rPr>
          <w:lang w:val="es-419"/>
        </w:rPr>
        <w:t>Describa brevemente el subproyecto.</w:t>
      </w:r>
    </w:p>
    <w:p w14:paraId="59398564" w14:textId="2E55859C" w:rsidR="005F2A0B" w:rsidRPr="00EF48E5" w:rsidRDefault="00FB51EB" w:rsidP="005F2A0B">
      <w:pPr>
        <w:pStyle w:val="ListParagraph"/>
        <w:numPr>
          <w:ilvl w:val="0"/>
          <w:numId w:val="14"/>
        </w:numPr>
        <w:spacing w:line="259" w:lineRule="auto"/>
        <w:rPr>
          <w:lang w:val="es-419"/>
        </w:rPr>
      </w:pPr>
      <w:r>
        <w:rPr>
          <w:lang w:val="es-419"/>
        </w:rPr>
        <w:t>O</w:t>
      </w:r>
      <w:r w:rsidR="005F2A0B" w:rsidRPr="00EF48E5">
        <w:rPr>
          <w:lang w:val="es-419"/>
        </w:rPr>
        <w:t>bjetivos</w:t>
      </w:r>
    </w:p>
    <w:p w14:paraId="0EBF3D6D" w14:textId="77777777" w:rsidR="005F2A0B" w:rsidRPr="00EF48E5" w:rsidRDefault="005F2A0B" w:rsidP="005F2A0B">
      <w:pPr>
        <w:pStyle w:val="ListParagraph"/>
        <w:numPr>
          <w:ilvl w:val="0"/>
          <w:numId w:val="14"/>
        </w:numPr>
        <w:spacing w:line="259" w:lineRule="auto"/>
        <w:rPr>
          <w:lang w:val="es-419"/>
        </w:rPr>
      </w:pPr>
      <w:r w:rsidRPr="00EF48E5">
        <w:rPr>
          <w:lang w:val="es-419"/>
        </w:rPr>
        <w:t>Ubicación</w:t>
      </w:r>
    </w:p>
    <w:p w14:paraId="59A427E2" w14:textId="77777777" w:rsidR="005F2A0B" w:rsidRPr="00EF48E5" w:rsidRDefault="005F2A0B" w:rsidP="005F2A0B">
      <w:pPr>
        <w:pStyle w:val="ListParagraph"/>
        <w:numPr>
          <w:ilvl w:val="0"/>
          <w:numId w:val="14"/>
        </w:numPr>
        <w:spacing w:line="259" w:lineRule="auto"/>
        <w:rPr>
          <w:lang w:val="es-419"/>
        </w:rPr>
      </w:pPr>
      <w:proofErr w:type="gramStart"/>
      <w:r w:rsidRPr="00EF48E5">
        <w:rPr>
          <w:lang w:val="es-419"/>
        </w:rPr>
        <w:t>Actividades a realizar</w:t>
      </w:r>
      <w:proofErr w:type="gramEnd"/>
    </w:p>
    <w:p w14:paraId="099AE62B" w14:textId="77777777" w:rsidR="005F2A0B" w:rsidRPr="00EF48E5" w:rsidRDefault="005F2A0B" w:rsidP="005F2A0B">
      <w:pPr>
        <w:pStyle w:val="ListParagraph"/>
        <w:numPr>
          <w:ilvl w:val="0"/>
          <w:numId w:val="14"/>
        </w:numPr>
        <w:spacing w:line="259" w:lineRule="auto"/>
        <w:rPr>
          <w:lang w:val="es-419"/>
        </w:rPr>
      </w:pPr>
      <w:r w:rsidRPr="00EF48E5">
        <w:rPr>
          <w:lang w:val="es-419"/>
        </w:rPr>
        <w:t>Breve resumen de los riesgos ambientales y sociales</w:t>
      </w:r>
    </w:p>
    <w:p w14:paraId="167CA3AA" w14:textId="77777777" w:rsidR="005F2A0B" w:rsidRPr="00EF48E5" w:rsidRDefault="005F2A0B" w:rsidP="005F2A0B">
      <w:pPr>
        <w:rPr>
          <w:lang w:val="es-419"/>
        </w:rPr>
      </w:pPr>
      <w:r w:rsidRPr="00EF48E5">
        <w:rPr>
          <w:lang w:val="es-419"/>
        </w:rPr>
        <w:t>Incluir el propósito del Plan de Participación de las Partes Interesadas</w:t>
      </w:r>
    </w:p>
    <w:p w14:paraId="469F7265" w14:textId="77777777" w:rsidR="005F2A0B" w:rsidRPr="00EF48E5" w:rsidRDefault="005F2A0B" w:rsidP="003D2806">
      <w:pPr>
        <w:rPr>
          <w:b/>
          <w:bCs/>
          <w:lang w:val="es-419"/>
        </w:rPr>
      </w:pPr>
      <w:bookmarkStart w:id="54" w:name="_Toc52881566"/>
      <w:r w:rsidRPr="00EF48E5">
        <w:rPr>
          <w:b/>
          <w:bCs/>
          <w:lang w:val="es-419"/>
        </w:rPr>
        <w:t>Consideraciones de Covid-19 para la participación de las partes interesadas</w:t>
      </w:r>
      <w:bookmarkEnd w:id="43"/>
      <w:bookmarkEnd w:id="54"/>
    </w:p>
    <w:p w14:paraId="6DF46B06" w14:textId="48D9803F" w:rsidR="005F2A0B" w:rsidRPr="00EF48E5" w:rsidRDefault="005F2A0B" w:rsidP="005F2A0B">
      <w:pPr>
        <w:rPr>
          <w:lang w:val="es-419"/>
        </w:rPr>
      </w:pPr>
      <w:r w:rsidRPr="00EF48E5">
        <w:rPr>
          <w:lang w:val="es-419"/>
        </w:rPr>
        <w:t>Incluya una descripción de cómo se incluirá la prevención de covid-19 en el proceso de participación de las partes interesadas, por ejemplo</w:t>
      </w:r>
      <w:r w:rsidR="006457CD">
        <w:rPr>
          <w:lang w:val="es-419"/>
        </w:rPr>
        <w:t>,</w:t>
      </w:r>
      <w:r w:rsidRPr="00EF48E5">
        <w:rPr>
          <w:lang w:val="es-419"/>
        </w:rPr>
        <w:t xml:space="preserve"> distanciamiento social, proporcionar m</w:t>
      </w:r>
      <w:r w:rsidR="00FB51EB">
        <w:rPr>
          <w:lang w:val="es-419"/>
        </w:rPr>
        <w:t>ascarillas</w:t>
      </w:r>
      <w:r w:rsidRPr="00EF48E5">
        <w:rPr>
          <w:lang w:val="es-419"/>
        </w:rPr>
        <w:t>, desinfectante, realizar consultas virtuales, etc.</w:t>
      </w:r>
    </w:p>
    <w:p w14:paraId="54BAB951" w14:textId="77777777" w:rsidR="005F2A0B" w:rsidRPr="00EF48E5" w:rsidRDefault="005F2A0B" w:rsidP="003D2806">
      <w:pPr>
        <w:rPr>
          <w:b/>
          <w:bCs/>
          <w:lang w:val="es-419"/>
        </w:rPr>
      </w:pPr>
      <w:bookmarkStart w:id="55" w:name="_Toc51772105"/>
      <w:bookmarkStart w:id="56" w:name="_Toc52881567"/>
      <w:r w:rsidRPr="00EF48E5">
        <w:rPr>
          <w:b/>
          <w:bCs/>
          <w:lang w:val="es-419"/>
        </w:rPr>
        <w:t>Documentación de las actividades de participación de las partes interesadas</w:t>
      </w:r>
      <w:bookmarkEnd w:id="55"/>
      <w:bookmarkEnd w:id="56"/>
    </w:p>
    <w:p w14:paraId="1A64473F" w14:textId="012F545D" w:rsidR="005F2A0B" w:rsidRPr="00EF48E5" w:rsidRDefault="005F2A0B" w:rsidP="005F2A0B">
      <w:pPr>
        <w:rPr>
          <w:lang w:val="es-419"/>
        </w:rPr>
      </w:pPr>
      <w:r w:rsidRPr="00EF48E5">
        <w:rPr>
          <w:lang w:val="es-419"/>
        </w:rPr>
        <w:t>Resuma cómo se documentarán las actividades de participación de las partes interesadas, por ejemplo</w:t>
      </w:r>
      <w:r w:rsidR="006457CD">
        <w:rPr>
          <w:lang w:val="es-419"/>
        </w:rPr>
        <w:t>,</w:t>
      </w:r>
      <w:r w:rsidRPr="00EF48E5">
        <w:rPr>
          <w:lang w:val="es-419"/>
        </w:rPr>
        <w:t xml:space="preserve"> actas de reuniones, grabaciones, etc.</w:t>
      </w:r>
    </w:p>
    <w:p w14:paraId="140E082B" w14:textId="77777777" w:rsidR="005F2A0B" w:rsidRPr="00EF48E5" w:rsidRDefault="005F2A0B" w:rsidP="003D2806">
      <w:pPr>
        <w:rPr>
          <w:b/>
          <w:bCs/>
          <w:lang w:val="es-419"/>
        </w:rPr>
      </w:pPr>
      <w:bookmarkStart w:id="57" w:name="_Toc51772106"/>
      <w:bookmarkStart w:id="58" w:name="_Toc52881568"/>
      <w:r w:rsidRPr="00EF48E5">
        <w:rPr>
          <w:b/>
          <w:bCs/>
          <w:lang w:val="es-419"/>
        </w:rPr>
        <w:t>Responsabilidades y recursos de participación de las partes interesadas</w:t>
      </w:r>
      <w:bookmarkEnd w:id="57"/>
      <w:bookmarkEnd w:id="58"/>
    </w:p>
    <w:p w14:paraId="795C09A6" w14:textId="77777777" w:rsidR="005F2A0B" w:rsidRPr="00EF48E5" w:rsidRDefault="005F2A0B" w:rsidP="003D2806">
      <w:pPr>
        <w:rPr>
          <w:b/>
          <w:bCs/>
          <w:lang w:val="es-419"/>
        </w:rPr>
      </w:pPr>
      <w:bookmarkStart w:id="59" w:name="_Toc51772107"/>
      <w:bookmarkStart w:id="60" w:name="_Toc52881569"/>
      <w:r w:rsidRPr="00EF48E5">
        <w:rPr>
          <w:b/>
          <w:bCs/>
          <w:lang w:val="es-419"/>
        </w:rPr>
        <w:t>Responsabilidades</w:t>
      </w:r>
      <w:bookmarkEnd w:id="59"/>
      <w:bookmarkEnd w:id="60"/>
    </w:p>
    <w:p w14:paraId="5AEB0FB4" w14:textId="3B39243A" w:rsidR="005F2A0B" w:rsidRPr="00EF48E5" w:rsidRDefault="005F2A0B" w:rsidP="005F2A0B">
      <w:pPr>
        <w:rPr>
          <w:i/>
          <w:iCs/>
          <w:lang w:val="es-419"/>
        </w:rPr>
      </w:pPr>
      <w:r w:rsidRPr="00EF48E5">
        <w:rPr>
          <w:lang w:val="es-419"/>
        </w:rPr>
        <w:t>Incluir una tabla que muestre la(s) persona(s) responsable(s) de la gestión e implementación de la SEP</w:t>
      </w:r>
      <w:r w:rsidR="00ED622F">
        <w:rPr>
          <w:lang w:val="es-419"/>
        </w:rPr>
        <w:t>.</w:t>
      </w:r>
    </w:p>
    <w:p w14:paraId="06C64389" w14:textId="604DED81" w:rsidR="005F2A0B" w:rsidRPr="00EF48E5" w:rsidRDefault="005F2A0B" w:rsidP="005F2A0B">
      <w:pPr>
        <w:rPr>
          <w:lang w:val="es-419"/>
        </w:rPr>
      </w:pPr>
      <w:r w:rsidRPr="00EF48E5">
        <w:rPr>
          <w:i/>
          <w:iCs/>
          <w:lang w:val="es-419"/>
        </w:rPr>
        <w:t xml:space="preserve">Tenga en cuenta que la tabla que se presenta a continuación representa </w:t>
      </w:r>
      <w:r w:rsidRPr="00EF48E5">
        <w:rPr>
          <w:b/>
          <w:bCs/>
          <w:i/>
          <w:iCs/>
          <w:lang w:val="es-419"/>
        </w:rPr>
        <w:t>un ejemplo</w:t>
      </w:r>
      <w:r w:rsidR="00ED622F">
        <w:rPr>
          <w:b/>
          <w:bCs/>
          <w:i/>
          <w:iCs/>
          <w:lang w:val="es-419"/>
        </w:rPr>
        <w:t>.</w:t>
      </w:r>
      <w:r w:rsidRPr="00EF48E5">
        <w:rPr>
          <w:i/>
          <w:iCs/>
          <w:lang w:val="es-419"/>
        </w:rPr>
        <w:t xml:space="preserve"> Los roles y responsabilidades pueden ser diferentes en diferentes subproyectos. Incluya las funciones y responsabilidades que son relevantes para su subproyecto</w:t>
      </w:r>
      <w:r w:rsidR="00ED622F">
        <w:rPr>
          <w:i/>
          <w:iCs/>
          <w:lang w:val="es-419"/>
        </w:rPr>
        <w:t>.</w:t>
      </w:r>
    </w:p>
    <w:tbl>
      <w:tblPr>
        <w:tblStyle w:val="TableGrid"/>
        <w:tblW w:w="9350" w:type="dxa"/>
        <w:tblLook w:val="04A0" w:firstRow="1" w:lastRow="0" w:firstColumn="1" w:lastColumn="0" w:noHBand="0" w:noVBand="1"/>
      </w:tblPr>
      <w:tblGrid>
        <w:gridCol w:w="4674"/>
        <w:gridCol w:w="4676"/>
      </w:tblGrid>
      <w:tr w:rsidR="005F2A0B" w:rsidRPr="00EF48E5" w14:paraId="0ED06B88" w14:textId="77777777" w:rsidTr="001B362D">
        <w:trPr>
          <w:tblHeader/>
        </w:trPr>
        <w:tc>
          <w:tcPr>
            <w:tcW w:w="4674" w:type="dxa"/>
            <w:shd w:val="clear" w:color="auto" w:fill="DEEAF6" w:themeFill="accent5" w:themeFillTint="33"/>
          </w:tcPr>
          <w:p w14:paraId="7F199BC2" w14:textId="77777777" w:rsidR="005F2A0B" w:rsidRPr="00EF48E5" w:rsidRDefault="005F2A0B" w:rsidP="001B362D">
            <w:pPr>
              <w:rPr>
                <w:b/>
                <w:lang w:val="es-419"/>
              </w:rPr>
            </w:pPr>
            <w:r w:rsidRPr="00EF48E5">
              <w:rPr>
                <w:b/>
                <w:lang w:val="es-419"/>
              </w:rPr>
              <w:t>Rol/Título del puesto</w:t>
            </w:r>
          </w:p>
        </w:tc>
        <w:tc>
          <w:tcPr>
            <w:tcW w:w="4676" w:type="dxa"/>
            <w:shd w:val="clear" w:color="auto" w:fill="DEEAF6" w:themeFill="accent5" w:themeFillTint="33"/>
          </w:tcPr>
          <w:p w14:paraId="14795C23" w14:textId="77777777" w:rsidR="005F2A0B" w:rsidRPr="00EF48E5" w:rsidRDefault="005F2A0B" w:rsidP="001B362D">
            <w:pPr>
              <w:rPr>
                <w:b/>
                <w:lang w:val="es-419"/>
              </w:rPr>
            </w:pPr>
            <w:r w:rsidRPr="00EF48E5">
              <w:rPr>
                <w:b/>
                <w:lang w:val="es-419"/>
              </w:rPr>
              <w:t>Responsabilidades</w:t>
            </w:r>
          </w:p>
        </w:tc>
      </w:tr>
      <w:tr w:rsidR="005F2A0B" w:rsidRPr="00EF48E5" w14:paraId="7DE2F6B9" w14:textId="77777777" w:rsidTr="001B362D">
        <w:tc>
          <w:tcPr>
            <w:tcW w:w="4674" w:type="dxa"/>
            <w:shd w:val="clear" w:color="auto" w:fill="auto"/>
          </w:tcPr>
          <w:p w14:paraId="6CB9F873" w14:textId="77777777" w:rsidR="005F2A0B" w:rsidRPr="00EF48E5" w:rsidRDefault="005F2A0B" w:rsidP="001B362D">
            <w:pPr>
              <w:rPr>
                <w:color w:val="000000" w:themeColor="text1"/>
                <w:lang w:val="es-419"/>
              </w:rPr>
            </w:pPr>
            <w:r w:rsidRPr="00EF48E5">
              <w:rPr>
                <w:color w:val="000000" w:themeColor="text1"/>
                <w:lang w:val="es-419"/>
              </w:rPr>
              <w:t>Gerente de proyecto</w:t>
            </w:r>
          </w:p>
          <w:p w14:paraId="357D4EE3" w14:textId="77777777" w:rsidR="005F2A0B" w:rsidRPr="00EF48E5" w:rsidRDefault="005F2A0B" w:rsidP="001B362D">
            <w:pPr>
              <w:rPr>
                <w:color w:val="000000" w:themeColor="text1"/>
                <w:lang w:val="es-419"/>
              </w:rPr>
            </w:pPr>
            <w:r w:rsidRPr="00EF48E5">
              <w:rPr>
                <w:color w:val="000000" w:themeColor="text1"/>
                <w:lang w:val="es-419"/>
              </w:rPr>
              <w:t>Especialista/s ambiental y social</w:t>
            </w:r>
          </w:p>
          <w:p w14:paraId="23481EBA" w14:textId="77777777" w:rsidR="005F2A0B" w:rsidRPr="00EF48E5" w:rsidRDefault="005F2A0B" w:rsidP="001B362D">
            <w:pPr>
              <w:rPr>
                <w:lang w:val="es-419"/>
              </w:rPr>
            </w:pPr>
          </w:p>
        </w:tc>
        <w:tc>
          <w:tcPr>
            <w:tcW w:w="4676" w:type="dxa"/>
            <w:shd w:val="clear" w:color="auto" w:fill="auto"/>
          </w:tcPr>
          <w:p w14:paraId="20CF8B41" w14:textId="77777777" w:rsidR="005F2A0B" w:rsidRPr="00EF48E5" w:rsidRDefault="005F2A0B" w:rsidP="005F2A0B">
            <w:pPr>
              <w:pStyle w:val="ListParagraph"/>
              <w:numPr>
                <w:ilvl w:val="0"/>
                <w:numId w:val="15"/>
              </w:numPr>
              <w:spacing w:line="240" w:lineRule="auto"/>
              <w:ind w:left="342"/>
              <w:jc w:val="both"/>
              <w:rPr>
                <w:color w:val="000000" w:themeColor="text1"/>
                <w:lang w:val="es-419"/>
              </w:rPr>
            </w:pPr>
            <w:r w:rsidRPr="00EF48E5">
              <w:rPr>
                <w:color w:val="000000" w:themeColor="text1"/>
                <w:lang w:val="es-419"/>
              </w:rPr>
              <w:t>Gestionar e implementar el Plan de Participación de las Partes Interesadas (SEP)</w:t>
            </w:r>
          </w:p>
          <w:p w14:paraId="551E139B" w14:textId="77777777" w:rsidR="005F2A0B" w:rsidRPr="00EF48E5" w:rsidRDefault="005F2A0B" w:rsidP="005F2A0B">
            <w:pPr>
              <w:pStyle w:val="ListParagraph"/>
              <w:numPr>
                <w:ilvl w:val="0"/>
                <w:numId w:val="15"/>
              </w:numPr>
              <w:spacing w:line="240" w:lineRule="auto"/>
              <w:ind w:left="342"/>
              <w:jc w:val="both"/>
              <w:rPr>
                <w:color w:val="000000" w:themeColor="text1"/>
                <w:lang w:val="es-419"/>
              </w:rPr>
            </w:pPr>
            <w:r w:rsidRPr="00EF48E5">
              <w:rPr>
                <w:color w:val="000000" w:themeColor="text1"/>
                <w:lang w:val="es-419"/>
              </w:rPr>
              <w:t>Difusión de la información del proyecto</w:t>
            </w:r>
          </w:p>
        </w:tc>
      </w:tr>
      <w:tr w:rsidR="005F2A0B" w:rsidRPr="00EF48E5" w14:paraId="41624251" w14:textId="77777777" w:rsidTr="001B362D">
        <w:tc>
          <w:tcPr>
            <w:tcW w:w="4674" w:type="dxa"/>
            <w:shd w:val="clear" w:color="auto" w:fill="auto"/>
          </w:tcPr>
          <w:p w14:paraId="07201A1C" w14:textId="073B367B" w:rsidR="005F2A0B" w:rsidRPr="00EF48E5" w:rsidRDefault="005F2A0B" w:rsidP="001B362D">
            <w:pPr>
              <w:rPr>
                <w:color w:val="000000" w:themeColor="text1"/>
                <w:lang w:val="es-419"/>
              </w:rPr>
            </w:pPr>
            <w:r w:rsidRPr="00EF48E5">
              <w:rPr>
                <w:color w:val="000000" w:themeColor="text1"/>
                <w:lang w:val="es-419"/>
              </w:rPr>
              <w:lastRenderedPageBreak/>
              <w:t>Especialista ambiental y social</w:t>
            </w:r>
          </w:p>
          <w:p w14:paraId="7596643C" w14:textId="77777777" w:rsidR="005F2A0B" w:rsidRPr="00EF48E5" w:rsidRDefault="005F2A0B" w:rsidP="001B362D">
            <w:pPr>
              <w:rPr>
                <w:lang w:val="es-419"/>
              </w:rPr>
            </w:pPr>
          </w:p>
        </w:tc>
        <w:tc>
          <w:tcPr>
            <w:tcW w:w="4676" w:type="dxa"/>
            <w:shd w:val="clear" w:color="auto" w:fill="auto"/>
          </w:tcPr>
          <w:p w14:paraId="25903740" w14:textId="77777777" w:rsidR="005F2A0B" w:rsidRPr="00EF48E5" w:rsidRDefault="005F2A0B" w:rsidP="005F2A0B">
            <w:pPr>
              <w:pStyle w:val="ListParagraph"/>
              <w:numPr>
                <w:ilvl w:val="0"/>
                <w:numId w:val="15"/>
              </w:numPr>
              <w:spacing w:line="240" w:lineRule="auto"/>
              <w:ind w:left="342"/>
              <w:jc w:val="both"/>
              <w:rPr>
                <w:color w:val="000000" w:themeColor="text1"/>
                <w:lang w:val="es-419"/>
              </w:rPr>
            </w:pPr>
            <w:r w:rsidRPr="00EF48E5">
              <w:rPr>
                <w:color w:val="000000" w:themeColor="text1"/>
                <w:lang w:val="es-419"/>
              </w:rPr>
              <w:t>Interactuar con las partes interesadas y responder a los comentarios o preguntas sobre el proyecto o el proceso de consulta.</w:t>
            </w:r>
          </w:p>
          <w:p w14:paraId="28A469FE" w14:textId="5F7E9E53" w:rsidR="005F2A0B" w:rsidRPr="00EF48E5" w:rsidRDefault="005F2A0B" w:rsidP="005F2A0B">
            <w:pPr>
              <w:pStyle w:val="ListParagraph"/>
              <w:numPr>
                <w:ilvl w:val="0"/>
                <w:numId w:val="15"/>
              </w:numPr>
              <w:spacing w:line="240" w:lineRule="auto"/>
              <w:ind w:left="342"/>
              <w:jc w:val="both"/>
              <w:rPr>
                <w:color w:val="000000" w:themeColor="text1"/>
                <w:lang w:val="es-419"/>
              </w:rPr>
            </w:pPr>
            <w:r w:rsidRPr="00EF48E5">
              <w:rPr>
                <w:color w:val="000000" w:themeColor="text1"/>
                <w:lang w:val="es-419"/>
              </w:rPr>
              <w:t>Proporcion</w:t>
            </w:r>
            <w:r w:rsidR="00FB51EB">
              <w:rPr>
                <w:color w:val="000000" w:themeColor="text1"/>
                <w:lang w:val="es-419"/>
              </w:rPr>
              <w:t>ar</w:t>
            </w:r>
            <w:r w:rsidRPr="00EF48E5">
              <w:rPr>
                <w:color w:val="000000" w:themeColor="text1"/>
                <w:lang w:val="es-419"/>
              </w:rPr>
              <w:t xml:space="preserve"> información de contacto si las partes interesadas tienen preguntas o comentarios sobre el proyecto o el proceso de consulta.</w:t>
            </w:r>
          </w:p>
          <w:p w14:paraId="468303A6" w14:textId="1B155197" w:rsidR="005F2A0B" w:rsidRPr="00EF48E5" w:rsidRDefault="005F2A0B" w:rsidP="005F2A0B">
            <w:pPr>
              <w:pStyle w:val="ListParagraph"/>
              <w:numPr>
                <w:ilvl w:val="0"/>
                <w:numId w:val="15"/>
              </w:numPr>
              <w:spacing w:line="240" w:lineRule="auto"/>
              <w:ind w:left="342"/>
              <w:jc w:val="both"/>
              <w:rPr>
                <w:color w:val="000000" w:themeColor="text1"/>
                <w:lang w:val="es-419"/>
              </w:rPr>
            </w:pPr>
            <w:r w:rsidRPr="00EF48E5">
              <w:rPr>
                <w:color w:val="000000" w:themeColor="text1"/>
                <w:lang w:val="es-419"/>
              </w:rPr>
              <w:t>Document</w:t>
            </w:r>
            <w:r w:rsidR="00FB51EB">
              <w:rPr>
                <w:color w:val="000000" w:themeColor="text1"/>
                <w:lang w:val="es-419"/>
              </w:rPr>
              <w:t>ar</w:t>
            </w:r>
            <w:r w:rsidRPr="00EF48E5">
              <w:rPr>
                <w:color w:val="000000" w:themeColor="text1"/>
                <w:lang w:val="es-419"/>
              </w:rPr>
              <w:t xml:space="preserve"> cualquier interacción con las partes interesadas externas.</w:t>
            </w:r>
          </w:p>
          <w:p w14:paraId="2B2FD0FF" w14:textId="77777777" w:rsidR="005F2A0B" w:rsidRPr="00EF48E5" w:rsidRDefault="005F2A0B" w:rsidP="005F2A0B">
            <w:pPr>
              <w:pStyle w:val="ListParagraph"/>
              <w:numPr>
                <w:ilvl w:val="0"/>
                <w:numId w:val="15"/>
              </w:numPr>
              <w:spacing w:line="240" w:lineRule="auto"/>
              <w:ind w:left="342"/>
              <w:jc w:val="both"/>
              <w:rPr>
                <w:color w:val="000000" w:themeColor="text1"/>
                <w:lang w:val="es-419"/>
              </w:rPr>
            </w:pPr>
            <w:r w:rsidRPr="00EF48E5">
              <w:rPr>
                <w:color w:val="000000" w:themeColor="text1"/>
                <w:lang w:val="es-419"/>
              </w:rPr>
              <w:t>Mantener base de datos, registros para SEP</w:t>
            </w:r>
          </w:p>
          <w:p w14:paraId="64718A5F" w14:textId="77777777" w:rsidR="005F2A0B" w:rsidRPr="00EF48E5" w:rsidRDefault="005F2A0B" w:rsidP="005F2A0B">
            <w:pPr>
              <w:pStyle w:val="ListParagraph"/>
              <w:numPr>
                <w:ilvl w:val="0"/>
                <w:numId w:val="15"/>
              </w:numPr>
              <w:spacing w:line="240" w:lineRule="auto"/>
              <w:ind w:left="342"/>
              <w:jc w:val="both"/>
              <w:rPr>
                <w:color w:val="000000" w:themeColor="text1"/>
                <w:lang w:val="es-419"/>
              </w:rPr>
            </w:pPr>
            <w:r w:rsidRPr="00EF48E5">
              <w:rPr>
                <w:color w:val="000000" w:themeColor="text1"/>
                <w:lang w:val="es-419"/>
              </w:rPr>
              <w:t>Coordinar reuniones públicas, talleres, grupos focales, etc.</w:t>
            </w:r>
          </w:p>
          <w:p w14:paraId="72D64024" w14:textId="02F800F8" w:rsidR="005F2A0B" w:rsidRPr="00EF48E5" w:rsidRDefault="00FB51EB" w:rsidP="005F2A0B">
            <w:pPr>
              <w:pStyle w:val="ListParagraph"/>
              <w:numPr>
                <w:ilvl w:val="0"/>
                <w:numId w:val="15"/>
              </w:numPr>
              <w:spacing w:line="240" w:lineRule="auto"/>
              <w:ind w:left="342"/>
              <w:jc w:val="both"/>
              <w:rPr>
                <w:lang w:val="es-419"/>
              </w:rPr>
            </w:pPr>
            <w:proofErr w:type="gramStart"/>
            <w:r>
              <w:rPr>
                <w:color w:val="000000" w:themeColor="text1"/>
                <w:lang w:val="es-419"/>
              </w:rPr>
              <w:t>Asegurar</w:t>
            </w:r>
            <w:proofErr w:type="gramEnd"/>
            <w:r w:rsidR="005F2A0B" w:rsidRPr="00EF48E5">
              <w:rPr>
                <w:color w:val="000000" w:themeColor="text1"/>
                <w:lang w:val="es-419"/>
              </w:rPr>
              <w:t xml:space="preserve"> de que el SEP se cumpla y se siga correctamente.</w:t>
            </w:r>
          </w:p>
          <w:p w14:paraId="206798EB" w14:textId="77777777" w:rsidR="005F2A0B" w:rsidRPr="00EF48E5" w:rsidRDefault="005F2A0B" w:rsidP="005F2A0B">
            <w:pPr>
              <w:pStyle w:val="ListParagraph"/>
              <w:numPr>
                <w:ilvl w:val="0"/>
                <w:numId w:val="15"/>
              </w:numPr>
              <w:spacing w:line="240" w:lineRule="auto"/>
              <w:ind w:left="342"/>
              <w:jc w:val="both"/>
              <w:rPr>
                <w:lang w:val="es-419"/>
              </w:rPr>
            </w:pPr>
            <w:r w:rsidRPr="00EF48E5">
              <w:rPr>
                <w:color w:val="000000" w:themeColor="text1"/>
                <w:lang w:val="es-419"/>
              </w:rPr>
              <w:t>Sensibilizar sobre la SEP a la unidad ejecutora del proyecto, a los empleados de las empresas contratadas y a las partes interesadas externas pertinentes.</w:t>
            </w:r>
          </w:p>
        </w:tc>
      </w:tr>
    </w:tbl>
    <w:p w14:paraId="7196FA2F" w14:textId="77777777" w:rsidR="005F2A0B" w:rsidRPr="00EF48E5" w:rsidRDefault="005F2A0B" w:rsidP="005F2A0B">
      <w:pPr>
        <w:rPr>
          <w:lang w:val="es-419"/>
        </w:rPr>
      </w:pPr>
    </w:p>
    <w:p w14:paraId="4808D855" w14:textId="77777777" w:rsidR="005F2A0B" w:rsidRPr="00EF48E5" w:rsidRDefault="005F2A0B" w:rsidP="005F2A0B">
      <w:pPr>
        <w:rPr>
          <w:lang w:val="es-419"/>
        </w:rPr>
      </w:pPr>
      <w:r w:rsidRPr="00EF48E5">
        <w:rPr>
          <w:lang w:val="es-419"/>
        </w:rPr>
        <w:t>Esta sección debe incluir una breve declaración de cómo el SEP/GRM estará disponible para el personal, los beneficiarios, etc.</w:t>
      </w:r>
    </w:p>
    <w:p w14:paraId="16600714" w14:textId="77777777" w:rsidR="005F2A0B" w:rsidRPr="00EF48E5" w:rsidRDefault="005F2A0B" w:rsidP="003D2806">
      <w:pPr>
        <w:rPr>
          <w:b/>
          <w:bCs/>
          <w:lang w:val="es-419"/>
        </w:rPr>
      </w:pPr>
      <w:bookmarkStart w:id="61" w:name="_Toc51772108"/>
      <w:bookmarkStart w:id="62" w:name="_Toc52881570"/>
      <w:r w:rsidRPr="00EF48E5">
        <w:rPr>
          <w:b/>
          <w:bCs/>
          <w:lang w:val="es-419"/>
        </w:rPr>
        <w:t>Recursos</w:t>
      </w:r>
      <w:bookmarkEnd w:id="61"/>
      <w:bookmarkEnd w:id="62"/>
      <w:r w:rsidRPr="00EF48E5">
        <w:rPr>
          <w:b/>
          <w:bCs/>
          <w:lang w:val="es-419"/>
        </w:rPr>
        <w:t xml:space="preserve"> </w:t>
      </w:r>
    </w:p>
    <w:p w14:paraId="7CFC47B4" w14:textId="77777777" w:rsidR="005F2A0B" w:rsidRPr="00EF48E5" w:rsidRDefault="005F2A0B" w:rsidP="005F2A0B">
      <w:pPr>
        <w:rPr>
          <w:lang w:val="es-419"/>
        </w:rPr>
      </w:pPr>
      <w:r w:rsidRPr="00EF48E5">
        <w:rPr>
          <w:lang w:val="es-419"/>
        </w:rPr>
        <w:t>Incluya una tabla que incluya el costo/presupuesto para implementar SEP.</w:t>
      </w:r>
    </w:p>
    <w:p w14:paraId="7557C27E" w14:textId="37331AC7" w:rsidR="005F2A0B" w:rsidRPr="00EF48E5" w:rsidRDefault="005F2A0B" w:rsidP="005F2A0B">
      <w:pPr>
        <w:rPr>
          <w:i/>
          <w:iCs/>
          <w:lang w:val="es-419"/>
        </w:rPr>
      </w:pPr>
      <w:r w:rsidRPr="00EF48E5">
        <w:rPr>
          <w:i/>
          <w:iCs/>
          <w:lang w:val="es-419"/>
        </w:rPr>
        <w:t xml:space="preserve">Tenga en cuenta que la tabla que se presenta a continuación es </w:t>
      </w:r>
      <w:r w:rsidRPr="00EF48E5">
        <w:rPr>
          <w:b/>
          <w:bCs/>
          <w:i/>
          <w:iCs/>
          <w:lang w:val="es-419"/>
        </w:rPr>
        <w:t>un ejemplo</w:t>
      </w:r>
      <w:r w:rsidR="00ED622F">
        <w:rPr>
          <w:b/>
          <w:bCs/>
          <w:i/>
          <w:iCs/>
          <w:lang w:val="es-419"/>
        </w:rPr>
        <w:t>.</w:t>
      </w:r>
      <w:r w:rsidRPr="00EF48E5">
        <w:rPr>
          <w:i/>
          <w:iCs/>
          <w:lang w:val="es-419"/>
        </w:rPr>
        <w:t xml:space="preserve"> Las partidas presupuestarias pueden ser diferentes en diferentes subproyectos. Incluya los elementos del presupuesto y los costos que sean relevantes para su subproyecto.</w:t>
      </w:r>
    </w:p>
    <w:tbl>
      <w:tblPr>
        <w:tblStyle w:val="TableGrid"/>
        <w:tblW w:w="0" w:type="auto"/>
        <w:tblLook w:val="04A0" w:firstRow="1" w:lastRow="0" w:firstColumn="1" w:lastColumn="0" w:noHBand="0" w:noVBand="1"/>
      </w:tblPr>
      <w:tblGrid>
        <w:gridCol w:w="4675"/>
        <w:gridCol w:w="4675"/>
      </w:tblGrid>
      <w:tr w:rsidR="005F2A0B" w:rsidRPr="00EF48E5" w14:paraId="6DB356A6" w14:textId="77777777" w:rsidTr="001B362D">
        <w:tc>
          <w:tcPr>
            <w:tcW w:w="4675" w:type="dxa"/>
            <w:shd w:val="clear" w:color="auto" w:fill="DEEAF6" w:themeFill="accent5" w:themeFillTint="33"/>
          </w:tcPr>
          <w:p w14:paraId="42CD5096" w14:textId="77777777" w:rsidR="005F2A0B" w:rsidRPr="00EF48E5" w:rsidRDefault="005F2A0B" w:rsidP="001B362D">
            <w:pPr>
              <w:rPr>
                <w:b/>
                <w:bCs/>
                <w:lang w:val="es-419"/>
              </w:rPr>
            </w:pPr>
            <w:r w:rsidRPr="00EF48E5">
              <w:rPr>
                <w:b/>
                <w:bCs/>
                <w:lang w:val="es-419"/>
              </w:rPr>
              <w:t>Elemento de presupuesto</w:t>
            </w:r>
          </w:p>
        </w:tc>
        <w:tc>
          <w:tcPr>
            <w:tcW w:w="4675" w:type="dxa"/>
            <w:shd w:val="clear" w:color="auto" w:fill="DEEAF6" w:themeFill="accent5" w:themeFillTint="33"/>
          </w:tcPr>
          <w:p w14:paraId="59996B39" w14:textId="77777777" w:rsidR="005F2A0B" w:rsidRPr="00EF48E5" w:rsidRDefault="005F2A0B" w:rsidP="001B362D">
            <w:pPr>
              <w:rPr>
                <w:b/>
                <w:bCs/>
                <w:lang w:val="es-419"/>
              </w:rPr>
            </w:pPr>
            <w:r w:rsidRPr="00EF48E5">
              <w:rPr>
                <w:b/>
                <w:bCs/>
                <w:lang w:val="es-419"/>
              </w:rPr>
              <w:t>Costo</w:t>
            </w:r>
          </w:p>
        </w:tc>
      </w:tr>
      <w:tr w:rsidR="005F2A0B" w:rsidRPr="00EF48E5" w14:paraId="0CDDB0EA" w14:textId="77777777" w:rsidTr="001B362D">
        <w:tc>
          <w:tcPr>
            <w:tcW w:w="4675" w:type="dxa"/>
          </w:tcPr>
          <w:p w14:paraId="1410228E" w14:textId="77777777" w:rsidR="005F2A0B" w:rsidRPr="00EF48E5" w:rsidRDefault="005F2A0B" w:rsidP="001B362D">
            <w:pPr>
              <w:rPr>
                <w:lang w:val="es-419"/>
              </w:rPr>
            </w:pPr>
            <w:r w:rsidRPr="00EF48E5">
              <w:rPr>
                <w:lang w:val="es-419"/>
              </w:rPr>
              <w:t>Material de impresión</w:t>
            </w:r>
          </w:p>
        </w:tc>
        <w:tc>
          <w:tcPr>
            <w:tcW w:w="4675" w:type="dxa"/>
          </w:tcPr>
          <w:p w14:paraId="4A0A6BFD" w14:textId="77777777" w:rsidR="005F2A0B" w:rsidRPr="00EF48E5" w:rsidRDefault="005F2A0B" w:rsidP="001B362D">
            <w:pPr>
              <w:rPr>
                <w:lang w:val="es-419"/>
              </w:rPr>
            </w:pPr>
          </w:p>
        </w:tc>
      </w:tr>
      <w:tr w:rsidR="005F2A0B" w:rsidRPr="00EF48E5" w14:paraId="513E9FAC" w14:textId="77777777" w:rsidTr="001B362D">
        <w:tc>
          <w:tcPr>
            <w:tcW w:w="4675" w:type="dxa"/>
          </w:tcPr>
          <w:p w14:paraId="2FD8B8FB" w14:textId="77777777" w:rsidR="005F2A0B" w:rsidRPr="00EF48E5" w:rsidRDefault="005F2A0B" w:rsidP="001B362D">
            <w:pPr>
              <w:rPr>
                <w:lang w:val="es-419"/>
              </w:rPr>
            </w:pPr>
            <w:r w:rsidRPr="00EF48E5">
              <w:rPr>
                <w:lang w:val="es-419"/>
              </w:rPr>
              <w:t>Transporte</w:t>
            </w:r>
          </w:p>
        </w:tc>
        <w:tc>
          <w:tcPr>
            <w:tcW w:w="4675" w:type="dxa"/>
          </w:tcPr>
          <w:p w14:paraId="283D42F6" w14:textId="77777777" w:rsidR="005F2A0B" w:rsidRPr="00EF48E5" w:rsidRDefault="005F2A0B" w:rsidP="001B362D">
            <w:pPr>
              <w:rPr>
                <w:lang w:val="es-419"/>
              </w:rPr>
            </w:pPr>
          </w:p>
        </w:tc>
      </w:tr>
      <w:tr w:rsidR="005F2A0B" w:rsidRPr="00EF48E5" w14:paraId="6DC5CA2F" w14:textId="77777777" w:rsidTr="001B362D">
        <w:tc>
          <w:tcPr>
            <w:tcW w:w="4675" w:type="dxa"/>
          </w:tcPr>
          <w:p w14:paraId="6A806E30" w14:textId="77777777" w:rsidR="005F2A0B" w:rsidRPr="00EF48E5" w:rsidRDefault="005F2A0B" w:rsidP="001B362D">
            <w:pPr>
              <w:rPr>
                <w:lang w:val="es-419"/>
              </w:rPr>
            </w:pPr>
            <w:r w:rsidRPr="00EF48E5">
              <w:rPr>
                <w:lang w:val="es-419"/>
              </w:rPr>
              <w:t>Alquiler de espacios para reuniones</w:t>
            </w:r>
          </w:p>
        </w:tc>
        <w:tc>
          <w:tcPr>
            <w:tcW w:w="4675" w:type="dxa"/>
          </w:tcPr>
          <w:p w14:paraId="5C100612" w14:textId="77777777" w:rsidR="005F2A0B" w:rsidRPr="00EF48E5" w:rsidRDefault="005F2A0B" w:rsidP="001B362D">
            <w:pPr>
              <w:rPr>
                <w:lang w:val="es-419"/>
              </w:rPr>
            </w:pPr>
          </w:p>
        </w:tc>
      </w:tr>
    </w:tbl>
    <w:p w14:paraId="57EA719F" w14:textId="77777777" w:rsidR="005F2A0B" w:rsidRPr="00EF48E5" w:rsidRDefault="005F2A0B" w:rsidP="005F2A0B">
      <w:pPr>
        <w:rPr>
          <w:lang w:val="es-419"/>
        </w:rPr>
      </w:pPr>
    </w:p>
    <w:p w14:paraId="5815C70A" w14:textId="77777777" w:rsidR="005F2A0B" w:rsidRPr="00EF48E5" w:rsidRDefault="005F2A0B" w:rsidP="003D2806">
      <w:pPr>
        <w:rPr>
          <w:b/>
          <w:bCs/>
          <w:lang w:val="es-419"/>
        </w:rPr>
      </w:pPr>
      <w:bookmarkStart w:id="63" w:name="_Toc51772109"/>
      <w:bookmarkStart w:id="64" w:name="_Toc52881571"/>
      <w:r w:rsidRPr="00EF48E5">
        <w:rPr>
          <w:b/>
          <w:bCs/>
          <w:lang w:val="es-419"/>
        </w:rPr>
        <w:t>Mecanismo de Reparación de Quejas</w:t>
      </w:r>
      <w:bookmarkEnd w:id="63"/>
      <w:bookmarkEnd w:id="64"/>
      <w:r w:rsidRPr="00EF48E5">
        <w:rPr>
          <w:b/>
          <w:bCs/>
          <w:lang w:val="es-419"/>
        </w:rPr>
        <w:t xml:space="preserve"> </w:t>
      </w:r>
    </w:p>
    <w:p w14:paraId="5681A226" w14:textId="7356C4AF" w:rsidR="005F2A0B" w:rsidRPr="00EF48E5" w:rsidRDefault="005F2A0B" w:rsidP="005F2A0B">
      <w:pPr>
        <w:spacing w:after="0"/>
        <w:rPr>
          <w:rFonts w:cstheme="minorHAnsi"/>
          <w:bCs/>
          <w:iCs/>
          <w:lang w:val="es-419"/>
        </w:rPr>
      </w:pPr>
      <w:r w:rsidRPr="00EF48E5">
        <w:rPr>
          <w:rFonts w:cstheme="minorHAnsi"/>
          <w:lang w:val="es-419"/>
        </w:rPr>
        <w:t>Para todos los subproyectos en los que se aplique un estándar ambiental o social del Banco Mundial, el beneficiario debe proporcionar a las comunidades locales y otras partes interesadas relevantes un medio para presentar una queja</w:t>
      </w:r>
      <w:r w:rsidR="006457CD">
        <w:rPr>
          <w:rFonts w:cstheme="minorHAnsi"/>
          <w:lang w:val="es-419"/>
        </w:rPr>
        <w:t>,</w:t>
      </w:r>
      <w:r w:rsidRPr="00EF48E5">
        <w:rPr>
          <w:lang w:val="es-419"/>
        </w:rPr>
        <w:t xml:space="preserve"> y mediante la cual esta queja pueda ser considerada y resuelta satisfactoriamente.</w:t>
      </w:r>
    </w:p>
    <w:p w14:paraId="46366BA3" w14:textId="77777777" w:rsidR="005F2A0B" w:rsidRPr="00EF48E5" w:rsidRDefault="005F2A0B" w:rsidP="005F2A0B">
      <w:pPr>
        <w:autoSpaceDE w:val="0"/>
        <w:autoSpaceDN w:val="0"/>
        <w:adjustRightInd w:val="0"/>
        <w:spacing w:after="0"/>
        <w:rPr>
          <w:rFonts w:cstheme="minorHAnsi"/>
          <w:lang w:val="es-419"/>
        </w:rPr>
      </w:pPr>
    </w:p>
    <w:p w14:paraId="30CC3245" w14:textId="77777777" w:rsidR="005F2A0B" w:rsidRPr="00EF48E5" w:rsidRDefault="005F2A0B" w:rsidP="005F2A0B">
      <w:pPr>
        <w:autoSpaceDE w:val="0"/>
        <w:autoSpaceDN w:val="0"/>
        <w:adjustRightInd w:val="0"/>
        <w:spacing w:after="0"/>
        <w:rPr>
          <w:rFonts w:cstheme="minorHAnsi"/>
          <w:lang w:val="es-419"/>
        </w:rPr>
      </w:pPr>
      <w:r w:rsidRPr="00EF48E5">
        <w:rPr>
          <w:rFonts w:cstheme="minorHAnsi"/>
          <w:lang w:val="es-419"/>
        </w:rPr>
        <w:t>Este mecanismo de quejas debe incluir, como mínimo, los siguientes elementos:</w:t>
      </w:r>
    </w:p>
    <w:p w14:paraId="24B143AE" w14:textId="77777777" w:rsidR="005F2A0B" w:rsidRPr="00EF48E5" w:rsidRDefault="005F2A0B" w:rsidP="005F2A0B">
      <w:pPr>
        <w:pStyle w:val="ListParagraph"/>
        <w:autoSpaceDE w:val="0"/>
        <w:autoSpaceDN w:val="0"/>
        <w:adjustRightInd w:val="0"/>
        <w:spacing w:after="0"/>
        <w:ind w:left="0"/>
        <w:contextualSpacing w:val="0"/>
        <w:rPr>
          <w:rFonts w:cstheme="minorHAnsi"/>
          <w:lang w:val="es-419"/>
        </w:rPr>
      </w:pPr>
    </w:p>
    <w:p w14:paraId="3F7E300B"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t>Información de contacto de correo electrónico y teléfono de la organización beneficiaria.</w:t>
      </w:r>
    </w:p>
    <w:p w14:paraId="6705FAEC"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lastRenderedPageBreak/>
        <w:t>Información de contacto de correo electrónico y teléfono para el Equipo de Implementación Regional del CEPF.</w:t>
      </w:r>
    </w:p>
    <w:p w14:paraId="6B782345"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t xml:space="preserve">Los datos de contacto de </w:t>
      </w:r>
      <w:r w:rsidRPr="00EF48E5">
        <w:rPr>
          <w:lang w:val="es-419"/>
        </w:rPr>
        <w:t xml:space="preserve">la Línea Directa de Ética de CI (teléfono: +1-866-294-8674 / portal web: </w:t>
      </w:r>
      <w:hyperlink r:id="rId21" w:history="1">
        <w:r w:rsidRPr="00EF48E5">
          <w:rPr>
            <w:rStyle w:val="Hyperlink"/>
            <w:lang w:val="es-419"/>
          </w:rPr>
          <w:t xml:space="preserve">https://secure.ethicspoint.com/domain/media/en/gui/10680/index.html </w:t>
        </w:r>
      </w:hyperlink>
      <w:r w:rsidRPr="00EF48E5">
        <w:rPr>
          <w:lang w:val="es-419"/>
        </w:rPr>
        <w:t>).</w:t>
      </w:r>
      <w:r w:rsidRPr="00EF48E5">
        <w:rPr>
          <w:rFonts w:cstheme="minorHAnsi"/>
          <w:lang w:val="es-419"/>
        </w:rPr>
        <w:t xml:space="preserve"> </w:t>
      </w:r>
    </w:p>
    <w:p w14:paraId="7AEE11B6"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t>Una declaración que describa cómo informará a las partes interesadas sobre los objetivos del subproyecto y la existencia del mecanismo de quejas (p. ej., carteles, letreros, avisos públicos, anuncios públicos, uso de idiomas locales).</w:t>
      </w:r>
    </w:p>
    <w:p w14:paraId="1A2A78DE" w14:textId="77777777" w:rsidR="005F2A0B" w:rsidRPr="00EF48E5" w:rsidRDefault="005F2A0B" w:rsidP="005F2A0B">
      <w:pPr>
        <w:pStyle w:val="ListParagraph"/>
        <w:numPr>
          <w:ilvl w:val="0"/>
          <w:numId w:val="8"/>
        </w:numPr>
        <w:autoSpaceDE w:val="0"/>
        <w:autoSpaceDN w:val="0"/>
        <w:adjustRightInd w:val="0"/>
        <w:spacing w:after="0" w:line="259" w:lineRule="auto"/>
        <w:rPr>
          <w:rFonts w:cstheme="minorHAnsi"/>
          <w:lang w:val="es-419"/>
        </w:rPr>
      </w:pPr>
      <w:r w:rsidRPr="00EF48E5">
        <w:rPr>
          <w:rFonts w:cstheme="minorHAnsi"/>
          <w:lang w:val="es-419"/>
        </w:rPr>
        <w:t xml:space="preserve">Una declaración de que compartirá todas las quejas, y una respuesta propuesta, con el Equipo de Implementación Regional y el </w:t>
      </w:r>
      <w:proofErr w:type="gramStart"/>
      <w:r w:rsidRPr="00EF48E5">
        <w:rPr>
          <w:rFonts w:cstheme="minorHAnsi"/>
          <w:lang w:val="es-419"/>
        </w:rPr>
        <w:t>Director</w:t>
      </w:r>
      <w:proofErr w:type="gramEnd"/>
      <w:r w:rsidRPr="00EF48E5">
        <w:rPr>
          <w:rFonts w:cstheme="minorHAnsi"/>
          <w:lang w:val="es-419"/>
        </w:rPr>
        <w:t xml:space="preserve"> de Subvenciones del CEPF dentro de los 15 días. Si el reclamante no está satisfecho después de la respuesta, puede presentar la queja al </w:t>
      </w:r>
      <w:proofErr w:type="gramStart"/>
      <w:r w:rsidRPr="00EF48E5">
        <w:rPr>
          <w:rFonts w:cstheme="minorHAnsi"/>
          <w:lang w:val="es-419"/>
        </w:rPr>
        <w:t>Director Ejecutivo</w:t>
      </w:r>
      <w:proofErr w:type="gramEnd"/>
      <w:r w:rsidRPr="00EF48E5">
        <w:rPr>
          <w:rFonts w:cstheme="minorHAnsi"/>
          <w:lang w:val="es-419"/>
        </w:rPr>
        <w:t xml:space="preserve"> de CEPF a través de la Línea Directa de Ética de CI. Si el reclamante no está satisfecho con la respuesta del </w:t>
      </w:r>
      <w:proofErr w:type="gramStart"/>
      <w:r w:rsidRPr="00EF48E5">
        <w:rPr>
          <w:rFonts w:cstheme="minorHAnsi"/>
          <w:lang w:val="es-419"/>
        </w:rPr>
        <w:t>Director Ejecutivo</w:t>
      </w:r>
      <w:proofErr w:type="gramEnd"/>
      <w:r w:rsidRPr="00EF48E5">
        <w:rPr>
          <w:rFonts w:cstheme="minorHAnsi"/>
          <w:lang w:val="es-419"/>
        </w:rPr>
        <w:t xml:space="preserve"> del CEPF, puede presentar la queja ante el Banco Mundial a través del Servicio de Reparación de Quejas (GRS) del Banco Mundial.</w:t>
      </w:r>
    </w:p>
    <w:p w14:paraId="6A6B98F7" w14:textId="77777777" w:rsidR="005F2A0B" w:rsidRPr="00EF48E5" w:rsidRDefault="005F2A0B" w:rsidP="005F2A0B">
      <w:pPr>
        <w:autoSpaceDE w:val="0"/>
        <w:autoSpaceDN w:val="0"/>
        <w:adjustRightInd w:val="0"/>
        <w:spacing w:after="0"/>
        <w:rPr>
          <w:lang w:val="es-419"/>
        </w:rPr>
      </w:pPr>
    </w:p>
    <w:p w14:paraId="3CD81E09" w14:textId="41B13263" w:rsidR="005F2A0B" w:rsidRPr="00EF48E5" w:rsidRDefault="005F2A0B" w:rsidP="005F2A0B">
      <w:pPr>
        <w:autoSpaceDE w:val="0"/>
        <w:autoSpaceDN w:val="0"/>
        <w:adjustRightInd w:val="0"/>
        <w:rPr>
          <w:rFonts w:cstheme="minorHAnsi"/>
          <w:lang w:val="es-419"/>
        </w:rPr>
      </w:pPr>
      <w:r w:rsidRPr="00EF48E5">
        <w:rPr>
          <w:lang w:val="es-419"/>
        </w:rPr>
        <w:t xml:space="preserve">El reclamante tiene la opción de acercarse al Banco Mundial, si encuentra que el GRM establecido no puede resolver el </w:t>
      </w:r>
      <w:r w:rsidRPr="00EF48E5">
        <w:rPr>
          <w:rFonts w:cstheme="minorHAnsi"/>
          <w:lang w:val="es-419"/>
        </w:rPr>
        <w:t>problema</w:t>
      </w:r>
      <w:r w:rsidR="00ED622F">
        <w:rPr>
          <w:rFonts w:cstheme="minorHAnsi"/>
          <w:lang w:val="es-419"/>
        </w:rPr>
        <w:t>.</w:t>
      </w:r>
      <w:r w:rsidRPr="00EF48E5">
        <w:rPr>
          <w:lang w:val="es-419"/>
        </w:rPr>
        <w:t xml:space="preserve"> </w:t>
      </w:r>
      <w:r w:rsidRPr="00EF48E5">
        <w:rPr>
          <w:b/>
          <w:bCs/>
          <w:lang w:val="es-419"/>
        </w:rPr>
        <w:t>Debe tenerse en cuenta que, idealmente, solo se debe acceder a este GRS una vez que el mecanismo de quejas del proyecto se haya utilizado primer</w:t>
      </w:r>
      <w:r w:rsidR="004831F9">
        <w:rPr>
          <w:b/>
          <w:bCs/>
          <w:lang w:val="es-419"/>
        </w:rPr>
        <w:t>o</w:t>
      </w:r>
      <w:r w:rsidRPr="00EF48E5">
        <w:rPr>
          <w:b/>
          <w:bCs/>
          <w:lang w:val="es-419"/>
        </w:rPr>
        <w:t xml:space="preserve"> sin una resolución aceptable. </w:t>
      </w:r>
      <w:r w:rsidRPr="00EF48E5">
        <w:rPr>
          <w:lang w:val="es-419"/>
        </w:rPr>
        <w:t xml:space="preserve">Los procedimientos del Banco Mundial requieren que el reclamante exprese sus quejas por escrito a la oficina del Banco Mundial en Washington DC completando el formulario de quejas GRS del banco, </w:t>
      </w:r>
      <w:r w:rsidRPr="00EF48E5">
        <w:rPr>
          <w:color w:val="333333"/>
          <w:sz w:val="23"/>
          <w:szCs w:val="23"/>
          <w:lang w:val="es-419"/>
        </w:rPr>
        <w:t xml:space="preserve">que se puede encontrar en el siguiente enlace: </w:t>
      </w:r>
      <w:hyperlink r:id="rId22" w:anchor="5" w:history="1">
        <w:r w:rsidRPr="00EF48E5">
          <w:rPr>
            <w:rStyle w:val="Hyperlink"/>
            <w:lang w:val="es-419"/>
          </w:rPr>
          <w:t>http://www.worldbank.org/en/projects- operaciones/productos-y-servicios/servicio-de-reparacion-de-quejas#5</w:t>
        </w:r>
      </w:hyperlink>
      <w:r w:rsidR="00ED622F">
        <w:rPr>
          <w:color w:val="333333"/>
          <w:lang w:val="es-419"/>
        </w:rPr>
        <w:t>.</w:t>
      </w:r>
      <w:r w:rsidRPr="00EF48E5">
        <w:rPr>
          <w:color w:val="000000" w:themeColor="text1"/>
          <w:lang w:val="es-419"/>
        </w:rPr>
        <w:t xml:space="preserve"> Los formularios completos se aceptarán por correo electrónico, fax, carta y entrega en mano al GRS en la sede del Banco Mundial en Washington o en las oficinas de país del Banco Mundial.</w:t>
      </w:r>
    </w:p>
    <w:p w14:paraId="4A052519" w14:textId="77777777" w:rsidR="005F2A0B" w:rsidRPr="00EF48E5" w:rsidRDefault="005F2A0B" w:rsidP="005F2A0B">
      <w:pPr>
        <w:spacing w:before="160" w:after="0"/>
        <w:ind w:left="1080"/>
        <w:rPr>
          <w:lang w:val="es-419"/>
        </w:rPr>
      </w:pPr>
      <w:r w:rsidRPr="00EF48E5">
        <w:rPr>
          <w:b/>
          <w:bCs/>
          <w:color w:val="000000" w:themeColor="text1"/>
          <w:lang w:val="es-419"/>
        </w:rPr>
        <w:t xml:space="preserve">Correo electrónico: </w:t>
      </w:r>
      <w:r w:rsidRPr="00EF48E5">
        <w:rPr>
          <w:b/>
          <w:bCs/>
          <w:color w:val="000000" w:themeColor="text1"/>
          <w:lang w:val="es-419"/>
        </w:rPr>
        <w:tab/>
      </w:r>
      <w:hyperlink r:id="rId23" w:history="1">
        <w:r w:rsidRPr="00EF48E5">
          <w:rPr>
            <w:rStyle w:val="Hyperlink"/>
            <w:lang w:val="es-419"/>
          </w:rPr>
          <w:t>grievances@worldbank.org</w:t>
        </w:r>
      </w:hyperlink>
    </w:p>
    <w:p w14:paraId="426D0427" w14:textId="77777777" w:rsidR="005F2A0B" w:rsidRPr="00EF48E5" w:rsidRDefault="005F2A0B" w:rsidP="005F2A0B">
      <w:pPr>
        <w:spacing w:after="0" w:line="240" w:lineRule="auto"/>
        <w:ind w:left="1080"/>
        <w:rPr>
          <w:b/>
          <w:bCs/>
          <w:color w:val="000000" w:themeColor="text1"/>
          <w:lang w:val="es-419"/>
        </w:rPr>
      </w:pPr>
      <w:r w:rsidRPr="00EF48E5">
        <w:rPr>
          <w:b/>
          <w:bCs/>
          <w:color w:val="000000" w:themeColor="text1"/>
          <w:lang w:val="es-419"/>
        </w:rPr>
        <w:t xml:space="preserve">Fax: </w:t>
      </w:r>
      <w:r w:rsidRPr="00EF48E5">
        <w:rPr>
          <w:b/>
          <w:bCs/>
          <w:color w:val="000000" w:themeColor="text1"/>
          <w:lang w:val="es-419"/>
        </w:rPr>
        <w:tab/>
      </w:r>
      <w:r w:rsidRPr="00EF48E5">
        <w:rPr>
          <w:color w:val="000000" w:themeColor="text1"/>
          <w:lang w:val="es-419"/>
        </w:rPr>
        <w:t>+1-202-614-7313</w:t>
      </w:r>
    </w:p>
    <w:p w14:paraId="6B451E5D" w14:textId="57772CAB" w:rsidR="005F2A0B" w:rsidRPr="00EF48E5" w:rsidRDefault="005F2A0B" w:rsidP="005F2A0B">
      <w:pPr>
        <w:pStyle w:val="NoSpacing"/>
        <w:ind w:left="1080"/>
        <w:jc w:val="both"/>
        <w:rPr>
          <w:rFonts w:cstheme="minorHAnsi"/>
          <w:bCs/>
          <w:color w:val="000000" w:themeColor="text1"/>
          <w:sz w:val="22"/>
          <w:lang w:val="es-419"/>
        </w:rPr>
      </w:pPr>
      <w:r w:rsidRPr="00EF48E5">
        <w:rPr>
          <w:rFonts w:cstheme="minorHAnsi"/>
          <w:b/>
          <w:bCs/>
          <w:color w:val="000000" w:themeColor="text1"/>
          <w:sz w:val="22"/>
          <w:lang w:val="es-419"/>
        </w:rPr>
        <w:t xml:space="preserve">Por carta: </w:t>
      </w:r>
      <w:r w:rsidRPr="00EF48E5">
        <w:rPr>
          <w:rFonts w:cstheme="minorHAnsi"/>
          <w:b/>
          <w:bCs/>
          <w:color w:val="000000" w:themeColor="text1"/>
          <w:sz w:val="22"/>
          <w:lang w:val="es-419"/>
        </w:rPr>
        <w:tab/>
      </w:r>
      <w:r w:rsidRPr="00EF48E5">
        <w:rPr>
          <w:rFonts w:cstheme="minorHAnsi"/>
          <w:bCs/>
          <w:color w:val="000000" w:themeColor="text1"/>
          <w:sz w:val="22"/>
          <w:lang w:val="es-419"/>
        </w:rPr>
        <w:t>Banco Mundial</w:t>
      </w:r>
    </w:p>
    <w:p w14:paraId="55AAB997" w14:textId="77777777" w:rsidR="005F2A0B" w:rsidRPr="00EF48E5" w:rsidRDefault="005F2A0B" w:rsidP="005F2A0B">
      <w:pPr>
        <w:pStyle w:val="NoSpacing"/>
        <w:ind w:left="1080"/>
        <w:jc w:val="both"/>
        <w:rPr>
          <w:rFonts w:cstheme="minorHAnsi"/>
          <w:bCs/>
          <w:color w:val="000000" w:themeColor="text1"/>
          <w:sz w:val="22"/>
          <w:lang w:val="es-419"/>
        </w:rPr>
      </w:pPr>
      <w:r w:rsidRPr="00EF48E5">
        <w:rPr>
          <w:rFonts w:cstheme="minorHAnsi"/>
          <w:bCs/>
          <w:color w:val="000000" w:themeColor="text1"/>
          <w:sz w:val="22"/>
          <w:lang w:val="es-419"/>
        </w:rPr>
        <w:t xml:space="preserve"> </w:t>
      </w:r>
      <w:r w:rsidRPr="00EF48E5">
        <w:rPr>
          <w:rFonts w:cstheme="minorHAnsi"/>
          <w:bCs/>
          <w:color w:val="000000" w:themeColor="text1"/>
          <w:sz w:val="22"/>
          <w:lang w:val="es-419"/>
        </w:rPr>
        <w:tab/>
      </w:r>
      <w:r w:rsidRPr="00EF48E5">
        <w:rPr>
          <w:rFonts w:cstheme="minorHAnsi"/>
          <w:bCs/>
          <w:color w:val="000000" w:themeColor="text1"/>
          <w:sz w:val="22"/>
          <w:lang w:val="es-419"/>
        </w:rPr>
        <w:tab/>
        <w:t>Servicio de Reparación de Quejas (GRS)</w:t>
      </w:r>
    </w:p>
    <w:p w14:paraId="119EAD9A" w14:textId="77777777" w:rsidR="005F2A0B" w:rsidRPr="00EF48E5" w:rsidRDefault="005F2A0B" w:rsidP="005F2A0B">
      <w:pPr>
        <w:pStyle w:val="NoSpacing"/>
        <w:ind w:left="1440" w:firstLine="720"/>
        <w:jc w:val="both"/>
        <w:rPr>
          <w:rFonts w:cstheme="minorHAnsi"/>
          <w:bCs/>
          <w:color w:val="000000" w:themeColor="text1"/>
          <w:sz w:val="22"/>
          <w:lang w:val="es-419"/>
        </w:rPr>
      </w:pPr>
      <w:r w:rsidRPr="00EF48E5">
        <w:rPr>
          <w:rFonts w:cstheme="minorHAnsi"/>
          <w:bCs/>
          <w:color w:val="000000" w:themeColor="text1"/>
          <w:sz w:val="22"/>
          <w:lang w:val="es-419"/>
        </w:rPr>
        <w:t>MSN MC 10-1018 NO,</w:t>
      </w:r>
    </w:p>
    <w:p w14:paraId="0F7694F6" w14:textId="77777777" w:rsidR="005F2A0B" w:rsidRPr="00EF48E5" w:rsidRDefault="005F2A0B" w:rsidP="005F2A0B">
      <w:pPr>
        <w:pStyle w:val="NoSpacing"/>
        <w:ind w:left="1440" w:firstLine="720"/>
        <w:jc w:val="both"/>
        <w:rPr>
          <w:rFonts w:cstheme="minorHAnsi"/>
          <w:bCs/>
          <w:color w:val="000000" w:themeColor="text1"/>
          <w:sz w:val="22"/>
          <w:lang w:val="es-419"/>
        </w:rPr>
      </w:pPr>
      <w:r w:rsidRPr="00EF48E5">
        <w:rPr>
          <w:rFonts w:cstheme="minorHAnsi"/>
          <w:bCs/>
          <w:color w:val="000000" w:themeColor="text1"/>
          <w:sz w:val="22"/>
          <w:lang w:val="es-419"/>
        </w:rPr>
        <w:t>Washington, DC 20433, EE. UU.</w:t>
      </w:r>
    </w:p>
    <w:p w14:paraId="533D54B1" w14:textId="77777777" w:rsidR="005F2A0B" w:rsidRPr="00EF48E5" w:rsidRDefault="005F2A0B" w:rsidP="005F2A0B">
      <w:pPr>
        <w:pStyle w:val="NoSpacing"/>
        <w:ind w:left="720" w:firstLine="720"/>
        <w:jc w:val="both"/>
        <w:rPr>
          <w:rFonts w:cstheme="minorHAnsi"/>
          <w:bCs/>
          <w:color w:val="000000" w:themeColor="text1"/>
          <w:sz w:val="22"/>
          <w:lang w:val="es-419"/>
        </w:rPr>
      </w:pPr>
    </w:p>
    <w:p w14:paraId="72E6F465" w14:textId="77777777" w:rsidR="005F2A0B" w:rsidRPr="00EF48E5" w:rsidRDefault="005F2A0B" w:rsidP="005F2A0B">
      <w:pPr>
        <w:rPr>
          <w:b/>
          <w:bCs/>
          <w:lang w:val="es-419"/>
        </w:rPr>
      </w:pPr>
      <w:r w:rsidRPr="00EF48E5">
        <w:rPr>
          <w:b/>
          <w:bCs/>
          <w:lang w:val="es-419"/>
        </w:rPr>
        <w:t>Abordar la violencia de género</w:t>
      </w:r>
    </w:p>
    <w:p w14:paraId="213ACEB0" w14:textId="53ABB679" w:rsidR="005F2A0B" w:rsidRPr="00EF48E5" w:rsidRDefault="005F2A0B" w:rsidP="005F2A0B">
      <w:pPr>
        <w:autoSpaceDE w:val="0"/>
        <w:autoSpaceDN w:val="0"/>
        <w:adjustRightInd w:val="0"/>
        <w:rPr>
          <w:lang w:val="es-419"/>
        </w:rPr>
      </w:pPr>
      <w:r w:rsidRPr="00EF48E5">
        <w:rPr>
          <w:lang w:val="es-419"/>
        </w:rPr>
        <w:t>El concesionario también deberá hacer disposiciones especiales para las quejas relacionadas con la violencia de género (V</w:t>
      </w:r>
      <w:r w:rsidR="004831F9">
        <w:rPr>
          <w:lang w:val="es-419"/>
        </w:rPr>
        <w:t>G</w:t>
      </w:r>
      <w:r w:rsidRPr="00EF48E5">
        <w:rPr>
          <w:lang w:val="es-419"/>
        </w:rPr>
        <w:t>), debido a la necesidad de que las quejas sean manejadas por personas con capacitación especializada y que adopten un enfoque centrado en el sobreviviente. El beneficiario recibirá los datos de contacto de un proveedor de servicios de violencia basada en género en el país del proyecto y deberá incluirlos en sus mecanismos de presentación de quejas. L</w:t>
      </w:r>
      <w:r w:rsidR="00B747DE">
        <w:rPr>
          <w:lang w:val="es-419"/>
        </w:rPr>
        <w:t>o</w:t>
      </w:r>
      <w:r w:rsidRPr="00EF48E5">
        <w:rPr>
          <w:lang w:val="es-419"/>
        </w:rPr>
        <w:t>s sobrevivientes de VG tendrán la opción de contactar directamente al proveedor de servicios de VBG, quien, a su vez, informará a la Secretaría del CEPF, con el consentimiento expreso de</w:t>
      </w:r>
      <w:r w:rsidR="00850F7E">
        <w:rPr>
          <w:lang w:val="es-419"/>
        </w:rPr>
        <w:t>l</w:t>
      </w:r>
      <w:r w:rsidRPr="00EF48E5">
        <w:rPr>
          <w:lang w:val="es-419"/>
        </w:rPr>
        <w:t xml:space="preserve"> sobreviviente.</w:t>
      </w:r>
    </w:p>
    <w:p w14:paraId="6818037C" w14:textId="77777777" w:rsidR="005F2A0B" w:rsidRPr="00EF48E5" w:rsidRDefault="005F2A0B" w:rsidP="005F2A0B">
      <w:pPr>
        <w:spacing w:line="257" w:lineRule="auto"/>
        <w:rPr>
          <w:lang w:val="es-419"/>
        </w:rPr>
      </w:pPr>
      <w:r w:rsidRPr="00EF48E5">
        <w:rPr>
          <w:lang w:val="es-419"/>
        </w:rPr>
        <w:t>Siguiendo la guía anterior, describa el mecanismo de quejas que utilizará.</w:t>
      </w:r>
    </w:p>
    <w:p w14:paraId="7C4AAC2C" w14:textId="77777777" w:rsidR="005F2A0B" w:rsidRPr="00EF48E5" w:rsidRDefault="005F2A0B" w:rsidP="005F2A0B">
      <w:pPr>
        <w:rPr>
          <w:lang w:val="es-419"/>
        </w:rPr>
      </w:pPr>
    </w:p>
    <w:p w14:paraId="57BC050D" w14:textId="77777777" w:rsidR="005F2A0B" w:rsidRPr="00EF48E5" w:rsidRDefault="005F2A0B" w:rsidP="005F2A0B">
      <w:pPr>
        <w:rPr>
          <w:lang w:val="es-419"/>
        </w:rPr>
      </w:pPr>
    </w:p>
    <w:p w14:paraId="631AA14E" w14:textId="77777777" w:rsidR="005F2A0B" w:rsidRPr="00EF48E5" w:rsidRDefault="005F2A0B" w:rsidP="005F2A0B">
      <w:pPr>
        <w:rPr>
          <w:lang w:val="es-419"/>
        </w:rPr>
      </w:pPr>
    </w:p>
    <w:p w14:paraId="30298AEB" w14:textId="77777777" w:rsidR="007D12FC" w:rsidRPr="00EF48E5" w:rsidRDefault="007D12FC">
      <w:pPr>
        <w:rPr>
          <w:lang w:val="es-419"/>
        </w:rPr>
      </w:pPr>
    </w:p>
    <w:sectPr w:rsidR="007D12FC" w:rsidRPr="00EF48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7907" w14:textId="77777777" w:rsidR="00D462A8" w:rsidRDefault="00D462A8" w:rsidP="004667D2">
      <w:pPr>
        <w:spacing w:after="0" w:line="240" w:lineRule="auto"/>
      </w:pPr>
      <w:r>
        <w:separator/>
      </w:r>
    </w:p>
  </w:endnote>
  <w:endnote w:type="continuationSeparator" w:id="0">
    <w:p w14:paraId="14628155" w14:textId="77777777" w:rsidR="00D462A8" w:rsidRDefault="00D462A8" w:rsidP="0046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etna JY Newstyle 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45348"/>
      <w:docPartObj>
        <w:docPartGallery w:val="Page Numbers (Bottom of Page)"/>
        <w:docPartUnique/>
      </w:docPartObj>
    </w:sdtPr>
    <w:sdtEndPr>
      <w:rPr>
        <w:noProof/>
      </w:rPr>
    </w:sdtEndPr>
    <w:sdtContent>
      <w:p w14:paraId="63C6EF33" w14:textId="06F5E602" w:rsidR="00F52DB0" w:rsidRDefault="00F52D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F14D68" w14:textId="77777777" w:rsidR="005F2A0B" w:rsidRDefault="005F2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1A19" w14:textId="77777777" w:rsidR="00D462A8" w:rsidRDefault="00D462A8" w:rsidP="004667D2">
      <w:pPr>
        <w:spacing w:after="0" w:line="240" w:lineRule="auto"/>
      </w:pPr>
      <w:r>
        <w:separator/>
      </w:r>
    </w:p>
  </w:footnote>
  <w:footnote w:type="continuationSeparator" w:id="0">
    <w:p w14:paraId="6DD1DEBE" w14:textId="77777777" w:rsidR="00D462A8" w:rsidRDefault="00D462A8" w:rsidP="004667D2">
      <w:pPr>
        <w:spacing w:after="0" w:line="240" w:lineRule="auto"/>
      </w:pPr>
      <w:r>
        <w:continuationSeparator/>
      </w:r>
    </w:p>
  </w:footnote>
  <w:footnote w:id="1">
    <w:p w14:paraId="309231F8" w14:textId="692C7334" w:rsidR="004667D2" w:rsidRPr="004667D2" w:rsidRDefault="004667D2">
      <w:pPr>
        <w:pStyle w:val="FootnoteText"/>
        <w:rPr>
          <w:lang w:val="en-GB"/>
        </w:rPr>
      </w:pPr>
      <w:r>
        <w:rPr>
          <w:rStyle w:val="FootnoteReference"/>
        </w:rPr>
        <w:footnoteRef/>
      </w:r>
      <w:r>
        <w:t xml:space="preserve"> </w:t>
      </w:r>
      <w:hyperlink r:id="rId1" w:history="1">
        <w:r w:rsidRPr="00111EF8">
          <w:rPr>
            <w:rStyle w:val="Hyperlink"/>
          </w:rPr>
          <w:t>https://www.cepf.net/resources/ecosystem-profile-documents/caribbean-islands-ecosystem-profile-diciembre-2019</w:t>
        </w:r>
      </w:hyperlink>
    </w:p>
  </w:footnote>
  <w:footnote w:id="2">
    <w:p w14:paraId="30AB51D7" w14:textId="77777777" w:rsidR="00C87E65" w:rsidRDefault="00C87E65" w:rsidP="00C87E65">
      <w:pPr>
        <w:pStyle w:val="FootnoteText"/>
      </w:pPr>
      <w:r>
        <w:rPr>
          <w:rStyle w:val="FootnoteReference"/>
        </w:rPr>
        <w:footnoteRef/>
      </w:r>
      <w:r>
        <w:t xml:space="preserve"> </w:t>
      </w:r>
      <w:r>
        <w:rPr>
          <w:noProof/>
        </w:rPr>
        <w:t>No es probable que las actividades propuestas tengan impactos ambientales significativos o irreversibles.</w:t>
      </w:r>
    </w:p>
  </w:footnote>
  <w:footnote w:id="3">
    <w:p w14:paraId="259DE513" w14:textId="4C9E25A6" w:rsidR="00282FEE" w:rsidRPr="00904773" w:rsidRDefault="00282FEE">
      <w:pPr>
        <w:pStyle w:val="FootnoteText"/>
        <w:rPr>
          <w:lang w:val="fr-FR"/>
        </w:rPr>
      </w:pPr>
      <w:r>
        <w:rPr>
          <w:rStyle w:val="FootnoteReference"/>
        </w:rPr>
        <w:footnoteRef/>
      </w:r>
      <w:r>
        <w:t xml:space="preserve"> </w:t>
      </w:r>
      <w:r w:rsidRPr="00904773">
        <w:rPr>
          <w:lang w:val="fr-FR"/>
        </w:rPr>
        <w:t xml:space="preserve">La </w:t>
      </w:r>
      <w:r w:rsidRPr="00904773">
        <w:rPr>
          <w:lang w:val="fr-FR"/>
        </w:rPr>
        <w:t>estrategia de participación y comunicación del RIT que se desarrollará dentro de los primeros tres meses de la implementación del proyecto también puede incluir pasos adicionales.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A4A3" w14:textId="77777777" w:rsidR="005F2A0B" w:rsidRPr="00882430" w:rsidRDefault="005F2A0B" w:rsidP="005D22A1">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8A"/>
    <w:multiLevelType w:val="hybridMultilevel"/>
    <w:tmpl w:val="A9DE3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41103"/>
    <w:multiLevelType w:val="hybridMultilevel"/>
    <w:tmpl w:val="DFF67E78"/>
    <w:lvl w:ilvl="0" w:tplc="2C09000F">
      <w:start w:val="1"/>
      <w:numFmt w:val="decimal"/>
      <w:lvlText w:val="%1."/>
      <w:lvlJc w:val="left"/>
      <w:pPr>
        <w:ind w:left="360" w:hanging="360"/>
      </w:pPr>
    </w:lvl>
    <w:lvl w:ilvl="1" w:tplc="94FC0E96">
      <w:start w:val="1"/>
      <w:numFmt w:val="lowerLetter"/>
      <w:lvlText w:val="%2."/>
      <w:lvlJc w:val="left"/>
      <w:pPr>
        <w:ind w:left="1080" w:hanging="360"/>
      </w:pPr>
      <w:rPr>
        <w:rFonts w:hint="default"/>
      </w:rPr>
    </w:lvl>
    <w:lvl w:ilvl="2" w:tplc="2C09001B">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2" w15:restartNumberingAfterBreak="0">
    <w:nsid w:val="06D25F47"/>
    <w:multiLevelType w:val="hybridMultilevel"/>
    <w:tmpl w:val="E5B63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B3C92"/>
    <w:multiLevelType w:val="hybridMultilevel"/>
    <w:tmpl w:val="EFB6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64009"/>
    <w:multiLevelType w:val="hybridMultilevel"/>
    <w:tmpl w:val="C89814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B737C18"/>
    <w:multiLevelType w:val="hybridMultilevel"/>
    <w:tmpl w:val="D38E8DFE"/>
    <w:lvl w:ilvl="0" w:tplc="825EAE7A">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103A4"/>
    <w:multiLevelType w:val="hybridMultilevel"/>
    <w:tmpl w:val="B3CACD12"/>
    <w:lvl w:ilvl="0" w:tplc="2C090001">
      <w:start w:val="1"/>
      <w:numFmt w:val="bullet"/>
      <w:lvlText w:val=""/>
      <w:lvlJc w:val="left"/>
      <w:pPr>
        <w:ind w:left="360" w:hanging="360"/>
      </w:pPr>
      <w:rPr>
        <w:rFonts w:ascii="Symbol" w:hAnsi="Symbol"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7" w15:restartNumberingAfterBreak="0">
    <w:nsid w:val="10705419"/>
    <w:multiLevelType w:val="hybridMultilevel"/>
    <w:tmpl w:val="0308B002"/>
    <w:lvl w:ilvl="0" w:tplc="83EC95C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204EE"/>
    <w:multiLevelType w:val="hybridMultilevel"/>
    <w:tmpl w:val="5C92B690"/>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start w:val="1"/>
      <w:numFmt w:val="bullet"/>
      <w:lvlText w:val=""/>
      <w:lvlJc w:val="left"/>
      <w:pPr>
        <w:ind w:left="2160" w:hanging="360"/>
      </w:pPr>
      <w:rPr>
        <w:rFonts w:ascii="Wingdings" w:hAnsi="Wingdings" w:hint="default"/>
      </w:rPr>
    </w:lvl>
    <w:lvl w:ilvl="3" w:tplc="2C090001">
      <w:start w:val="1"/>
      <w:numFmt w:val="bullet"/>
      <w:lvlText w:val=""/>
      <w:lvlJc w:val="left"/>
      <w:pPr>
        <w:ind w:left="2880" w:hanging="360"/>
      </w:pPr>
      <w:rPr>
        <w:rFonts w:ascii="Symbol" w:hAnsi="Symbol" w:hint="default"/>
      </w:rPr>
    </w:lvl>
    <w:lvl w:ilvl="4" w:tplc="2C090003">
      <w:start w:val="1"/>
      <w:numFmt w:val="bullet"/>
      <w:lvlText w:val="o"/>
      <w:lvlJc w:val="left"/>
      <w:pPr>
        <w:ind w:left="3600" w:hanging="360"/>
      </w:pPr>
      <w:rPr>
        <w:rFonts w:ascii="Courier New" w:hAnsi="Courier New" w:cs="Courier New" w:hint="default"/>
      </w:rPr>
    </w:lvl>
    <w:lvl w:ilvl="5" w:tplc="2C090005">
      <w:start w:val="1"/>
      <w:numFmt w:val="bullet"/>
      <w:lvlText w:val=""/>
      <w:lvlJc w:val="left"/>
      <w:pPr>
        <w:ind w:left="4320" w:hanging="360"/>
      </w:pPr>
      <w:rPr>
        <w:rFonts w:ascii="Wingdings" w:hAnsi="Wingdings" w:hint="default"/>
      </w:rPr>
    </w:lvl>
    <w:lvl w:ilvl="6" w:tplc="2C090001">
      <w:start w:val="1"/>
      <w:numFmt w:val="bullet"/>
      <w:lvlText w:val=""/>
      <w:lvlJc w:val="left"/>
      <w:pPr>
        <w:ind w:left="5040" w:hanging="360"/>
      </w:pPr>
      <w:rPr>
        <w:rFonts w:ascii="Symbol" w:hAnsi="Symbol" w:hint="default"/>
      </w:rPr>
    </w:lvl>
    <w:lvl w:ilvl="7" w:tplc="2C090003">
      <w:start w:val="1"/>
      <w:numFmt w:val="bullet"/>
      <w:lvlText w:val="o"/>
      <w:lvlJc w:val="left"/>
      <w:pPr>
        <w:ind w:left="5760" w:hanging="360"/>
      </w:pPr>
      <w:rPr>
        <w:rFonts w:ascii="Courier New" w:hAnsi="Courier New" w:cs="Courier New" w:hint="default"/>
      </w:rPr>
    </w:lvl>
    <w:lvl w:ilvl="8" w:tplc="2C090005">
      <w:start w:val="1"/>
      <w:numFmt w:val="bullet"/>
      <w:lvlText w:val=""/>
      <w:lvlJc w:val="left"/>
      <w:pPr>
        <w:ind w:left="6480" w:hanging="360"/>
      </w:pPr>
      <w:rPr>
        <w:rFonts w:ascii="Wingdings" w:hAnsi="Wingdings" w:hint="default"/>
      </w:rPr>
    </w:lvl>
  </w:abstractNum>
  <w:abstractNum w:abstractNumId="9" w15:restartNumberingAfterBreak="0">
    <w:nsid w:val="159F2044"/>
    <w:multiLevelType w:val="hybridMultilevel"/>
    <w:tmpl w:val="2B388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12D18"/>
    <w:multiLevelType w:val="hybridMultilevel"/>
    <w:tmpl w:val="400459B8"/>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1" w15:restartNumberingAfterBreak="0">
    <w:nsid w:val="2C352101"/>
    <w:multiLevelType w:val="hybridMultilevel"/>
    <w:tmpl w:val="C930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25486"/>
    <w:multiLevelType w:val="hybridMultilevel"/>
    <w:tmpl w:val="A814B9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66905F6"/>
    <w:multiLevelType w:val="hybridMultilevel"/>
    <w:tmpl w:val="9A48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32E9B"/>
    <w:multiLevelType w:val="hybridMultilevel"/>
    <w:tmpl w:val="4E14B1AA"/>
    <w:lvl w:ilvl="0" w:tplc="1D5CBB2E">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3F457F12"/>
    <w:multiLevelType w:val="hybridMultilevel"/>
    <w:tmpl w:val="4464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D57F6"/>
    <w:multiLevelType w:val="hybridMultilevel"/>
    <w:tmpl w:val="96222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6A2BA4"/>
    <w:multiLevelType w:val="hybridMultilevel"/>
    <w:tmpl w:val="CCA8F67E"/>
    <w:lvl w:ilvl="0" w:tplc="B0FA0F70">
      <w:start w:val="8"/>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B54C44"/>
    <w:multiLevelType w:val="hybridMultilevel"/>
    <w:tmpl w:val="348E7EC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076493"/>
    <w:multiLevelType w:val="hybridMultilevel"/>
    <w:tmpl w:val="63A2A9E4"/>
    <w:lvl w:ilvl="0" w:tplc="C622B80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C60760"/>
    <w:multiLevelType w:val="hybridMultilevel"/>
    <w:tmpl w:val="26002C70"/>
    <w:lvl w:ilvl="0" w:tplc="146829A6">
      <w:start w:val="1"/>
      <w:numFmt w:val="bullet"/>
      <w:lvlText w:val=""/>
      <w:lvlJc w:val="left"/>
      <w:pPr>
        <w:ind w:left="360" w:hanging="360"/>
      </w:pPr>
      <w:rPr>
        <w:rFonts w:ascii="Symbol" w:hAnsi="Symbol" w:cs="Symbol" w:hint="default"/>
      </w:rPr>
    </w:lvl>
    <w:lvl w:ilvl="1" w:tplc="3AFE8FFA">
      <w:start w:val="1"/>
      <w:numFmt w:val="bullet"/>
      <w:lvlText w:val="o"/>
      <w:lvlJc w:val="left"/>
      <w:pPr>
        <w:ind w:left="1080" w:hanging="360"/>
      </w:pPr>
      <w:rPr>
        <w:rFonts w:ascii="Courier New" w:hAnsi="Courier New" w:cs="Courier New" w:hint="default"/>
      </w:rPr>
    </w:lvl>
    <w:lvl w:ilvl="2" w:tplc="11EE4836">
      <w:start w:val="1"/>
      <w:numFmt w:val="bullet"/>
      <w:lvlText w:val=""/>
      <w:lvlJc w:val="left"/>
      <w:pPr>
        <w:ind w:left="1800" w:hanging="360"/>
      </w:pPr>
      <w:rPr>
        <w:rFonts w:ascii="Wingdings" w:hAnsi="Wingdings" w:cs="Wingdings" w:hint="default"/>
      </w:rPr>
    </w:lvl>
    <w:lvl w:ilvl="3" w:tplc="A34630D2">
      <w:start w:val="1"/>
      <w:numFmt w:val="bullet"/>
      <w:lvlText w:val=""/>
      <w:lvlJc w:val="left"/>
      <w:pPr>
        <w:ind w:left="2520" w:hanging="360"/>
      </w:pPr>
      <w:rPr>
        <w:rFonts w:ascii="Symbol" w:hAnsi="Symbol" w:cs="Symbol" w:hint="default"/>
      </w:rPr>
    </w:lvl>
    <w:lvl w:ilvl="4" w:tplc="31CCBD34">
      <w:start w:val="1"/>
      <w:numFmt w:val="bullet"/>
      <w:lvlText w:val="o"/>
      <w:lvlJc w:val="left"/>
      <w:pPr>
        <w:ind w:left="3240" w:hanging="360"/>
      </w:pPr>
      <w:rPr>
        <w:rFonts w:ascii="Courier New" w:hAnsi="Courier New" w:cs="Courier New" w:hint="default"/>
      </w:rPr>
    </w:lvl>
    <w:lvl w:ilvl="5" w:tplc="24089994">
      <w:start w:val="1"/>
      <w:numFmt w:val="bullet"/>
      <w:lvlText w:val=""/>
      <w:lvlJc w:val="left"/>
      <w:pPr>
        <w:ind w:left="3960" w:hanging="360"/>
      </w:pPr>
      <w:rPr>
        <w:rFonts w:ascii="Wingdings" w:hAnsi="Wingdings" w:cs="Wingdings" w:hint="default"/>
      </w:rPr>
    </w:lvl>
    <w:lvl w:ilvl="6" w:tplc="54B65CCE">
      <w:start w:val="1"/>
      <w:numFmt w:val="bullet"/>
      <w:lvlText w:val=""/>
      <w:lvlJc w:val="left"/>
      <w:pPr>
        <w:ind w:left="4680" w:hanging="360"/>
      </w:pPr>
      <w:rPr>
        <w:rFonts w:ascii="Symbol" w:hAnsi="Symbol" w:cs="Symbol" w:hint="default"/>
      </w:rPr>
    </w:lvl>
    <w:lvl w:ilvl="7" w:tplc="A5B0F1B6">
      <w:start w:val="1"/>
      <w:numFmt w:val="bullet"/>
      <w:lvlText w:val="o"/>
      <w:lvlJc w:val="left"/>
      <w:pPr>
        <w:ind w:left="5400" w:hanging="360"/>
      </w:pPr>
      <w:rPr>
        <w:rFonts w:ascii="Courier New" w:hAnsi="Courier New" w:cs="Courier New" w:hint="default"/>
      </w:rPr>
    </w:lvl>
    <w:lvl w:ilvl="8" w:tplc="865ABB88">
      <w:start w:val="1"/>
      <w:numFmt w:val="bullet"/>
      <w:lvlText w:val=""/>
      <w:lvlJc w:val="left"/>
      <w:pPr>
        <w:ind w:left="6120" w:hanging="360"/>
      </w:pPr>
      <w:rPr>
        <w:rFonts w:ascii="Wingdings" w:hAnsi="Wingdings" w:cs="Wingdings" w:hint="default"/>
      </w:rPr>
    </w:lvl>
  </w:abstractNum>
  <w:abstractNum w:abstractNumId="21" w15:restartNumberingAfterBreak="0">
    <w:nsid w:val="4B123ED6"/>
    <w:multiLevelType w:val="hybridMultilevel"/>
    <w:tmpl w:val="A33A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476A15"/>
    <w:multiLevelType w:val="hybridMultilevel"/>
    <w:tmpl w:val="E0629FFE"/>
    <w:lvl w:ilvl="0" w:tplc="9E5E10C6">
      <w:start w:val="8"/>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C2474"/>
    <w:multiLevelType w:val="hybridMultilevel"/>
    <w:tmpl w:val="E36EA978"/>
    <w:lvl w:ilvl="0" w:tplc="5F54A9A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5EC165D4"/>
    <w:multiLevelType w:val="hybridMultilevel"/>
    <w:tmpl w:val="4B68347A"/>
    <w:lvl w:ilvl="0" w:tplc="0316DB2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191CC8"/>
    <w:multiLevelType w:val="hybridMultilevel"/>
    <w:tmpl w:val="9858E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33BD5"/>
    <w:multiLevelType w:val="hybridMultilevel"/>
    <w:tmpl w:val="447E0A5E"/>
    <w:lvl w:ilvl="0" w:tplc="DEF84DBA">
      <w:start w:val="2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E6A45"/>
    <w:multiLevelType w:val="hybridMultilevel"/>
    <w:tmpl w:val="8F02A33C"/>
    <w:lvl w:ilvl="0" w:tplc="3288E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7049F"/>
    <w:multiLevelType w:val="hybridMultilevel"/>
    <w:tmpl w:val="EE783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E730A23"/>
    <w:multiLevelType w:val="hybridMultilevel"/>
    <w:tmpl w:val="24AC2B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A6209A"/>
    <w:multiLevelType w:val="hybridMultilevel"/>
    <w:tmpl w:val="DB04A44C"/>
    <w:lvl w:ilvl="0" w:tplc="2C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7D109A"/>
    <w:multiLevelType w:val="hybridMultilevel"/>
    <w:tmpl w:val="01E4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232653">
    <w:abstractNumId w:val="23"/>
  </w:num>
  <w:num w:numId="2" w16cid:durableId="1587226778">
    <w:abstractNumId w:val="0"/>
  </w:num>
  <w:num w:numId="3" w16cid:durableId="1849102250">
    <w:abstractNumId w:val="28"/>
  </w:num>
  <w:num w:numId="4" w16cid:durableId="1666781678">
    <w:abstractNumId w:val="21"/>
  </w:num>
  <w:num w:numId="5" w16cid:durableId="358822016">
    <w:abstractNumId w:val="16"/>
  </w:num>
  <w:num w:numId="6" w16cid:durableId="199246997">
    <w:abstractNumId w:val="12"/>
  </w:num>
  <w:num w:numId="7" w16cid:durableId="1448621517">
    <w:abstractNumId w:val="30"/>
  </w:num>
  <w:num w:numId="8" w16cid:durableId="588580124">
    <w:abstractNumId w:val="12"/>
  </w:num>
  <w:num w:numId="9" w16cid:durableId="2101832777">
    <w:abstractNumId w:val="23"/>
  </w:num>
  <w:num w:numId="10" w16cid:durableId="118455889">
    <w:abstractNumId w:val="21"/>
  </w:num>
  <w:num w:numId="11" w16cid:durableId="2112318092">
    <w:abstractNumId w:val="16"/>
  </w:num>
  <w:num w:numId="12" w16cid:durableId="112866459">
    <w:abstractNumId w:val="0"/>
  </w:num>
  <w:num w:numId="13" w16cid:durableId="526139657">
    <w:abstractNumId w:val="28"/>
  </w:num>
  <w:num w:numId="14" w16cid:durableId="612401070">
    <w:abstractNumId w:val="24"/>
  </w:num>
  <w:num w:numId="15" w16cid:durableId="1543323221">
    <w:abstractNumId w:val="20"/>
  </w:num>
  <w:num w:numId="16" w16cid:durableId="2133936578">
    <w:abstractNumId w:val="13"/>
  </w:num>
  <w:num w:numId="17" w16cid:durableId="182016402">
    <w:abstractNumId w:val="8"/>
  </w:num>
  <w:num w:numId="18" w16cid:durableId="887837520">
    <w:abstractNumId w:val="6"/>
  </w:num>
  <w:num w:numId="19" w16cid:durableId="981350947">
    <w:abstractNumId w:val="25"/>
  </w:num>
  <w:num w:numId="20" w16cid:durableId="968705499">
    <w:abstractNumId w:val="10"/>
  </w:num>
  <w:num w:numId="21" w16cid:durableId="36128996">
    <w:abstractNumId w:val="31"/>
  </w:num>
  <w:num w:numId="22" w16cid:durableId="1266227230">
    <w:abstractNumId w:val="15"/>
  </w:num>
  <w:num w:numId="23" w16cid:durableId="616453573">
    <w:abstractNumId w:val="3"/>
  </w:num>
  <w:num w:numId="24" w16cid:durableId="1302996899">
    <w:abstractNumId w:val="27"/>
  </w:num>
  <w:num w:numId="25" w16cid:durableId="90588467">
    <w:abstractNumId w:val="29"/>
  </w:num>
  <w:num w:numId="26" w16cid:durableId="848564892">
    <w:abstractNumId w:val="11"/>
  </w:num>
  <w:num w:numId="27" w16cid:durableId="563949266">
    <w:abstractNumId w:val="1"/>
  </w:num>
  <w:num w:numId="28" w16cid:durableId="980690534">
    <w:abstractNumId w:val="2"/>
  </w:num>
  <w:num w:numId="29" w16cid:durableId="445389329">
    <w:abstractNumId w:val="18"/>
  </w:num>
  <w:num w:numId="30" w16cid:durableId="2104714834">
    <w:abstractNumId w:val="19"/>
  </w:num>
  <w:num w:numId="31" w16cid:durableId="1245261056">
    <w:abstractNumId w:val="5"/>
  </w:num>
  <w:num w:numId="32" w16cid:durableId="2134326502">
    <w:abstractNumId w:val="17"/>
  </w:num>
  <w:num w:numId="33" w16cid:durableId="1346443645">
    <w:abstractNumId w:val="4"/>
  </w:num>
  <w:num w:numId="34" w16cid:durableId="365495706">
    <w:abstractNumId w:val="14"/>
  </w:num>
  <w:num w:numId="35" w16cid:durableId="1401126565">
    <w:abstractNumId w:val="22"/>
  </w:num>
  <w:num w:numId="36" w16cid:durableId="242178363">
    <w:abstractNumId w:val="26"/>
  </w:num>
  <w:num w:numId="37" w16cid:durableId="558593662">
    <w:abstractNumId w:val="9"/>
  </w:num>
  <w:num w:numId="38" w16cid:durableId="1882932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zNja0MDcwM7IwNDJR0lEKTi0uzszPAykwqwUAJ5mx1iwAAAA="/>
  </w:docVars>
  <w:rsids>
    <w:rsidRoot w:val="008A2777"/>
    <w:rsid w:val="00004385"/>
    <w:rsid w:val="00027E23"/>
    <w:rsid w:val="000567E5"/>
    <w:rsid w:val="000914AA"/>
    <w:rsid w:val="00097E93"/>
    <w:rsid w:val="000A1E9B"/>
    <w:rsid w:val="000A2DC2"/>
    <w:rsid w:val="000A4DDD"/>
    <w:rsid w:val="000B4607"/>
    <w:rsid w:val="000B46A4"/>
    <w:rsid w:val="000B5412"/>
    <w:rsid w:val="000C369C"/>
    <w:rsid w:val="000D2F77"/>
    <w:rsid w:val="000F6501"/>
    <w:rsid w:val="001123C7"/>
    <w:rsid w:val="001351C4"/>
    <w:rsid w:val="0015286E"/>
    <w:rsid w:val="00155674"/>
    <w:rsid w:val="001578AA"/>
    <w:rsid w:val="00163870"/>
    <w:rsid w:val="00171E25"/>
    <w:rsid w:val="00172357"/>
    <w:rsid w:val="001849A5"/>
    <w:rsid w:val="00191CE9"/>
    <w:rsid w:val="0019702F"/>
    <w:rsid w:val="001A4464"/>
    <w:rsid w:val="001B11F8"/>
    <w:rsid w:val="001B5684"/>
    <w:rsid w:val="001D5922"/>
    <w:rsid w:val="001F47EA"/>
    <w:rsid w:val="002027BC"/>
    <w:rsid w:val="00215957"/>
    <w:rsid w:val="00220431"/>
    <w:rsid w:val="00231388"/>
    <w:rsid w:val="00247163"/>
    <w:rsid w:val="002513C9"/>
    <w:rsid w:val="0025400F"/>
    <w:rsid w:val="00261DC2"/>
    <w:rsid w:val="00275C8E"/>
    <w:rsid w:val="00276F82"/>
    <w:rsid w:val="00280815"/>
    <w:rsid w:val="00282FEE"/>
    <w:rsid w:val="002910CC"/>
    <w:rsid w:val="002B70D8"/>
    <w:rsid w:val="002C6730"/>
    <w:rsid w:val="002C6FFA"/>
    <w:rsid w:val="002D103D"/>
    <w:rsid w:val="002D3207"/>
    <w:rsid w:val="002E1BE0"/>
    <w:rsid w:val="002F4F67"/>
    <w:rsid w:val="003014AA"/>
    <w:rsid w:val="00327AD3"/>
    <w:rsid w:val="003474E0"/>
    <w:rsid w:val="00351612"/>
    <w:rsid w:val="00356767"/>
    <w:rsid w:val="00365D30"/>
    <w:rsid w:val="00370B09"/>
    <w:rsid w:val="00372477"/>
    <w:rsid w:val="003B17EF"/>
    <w:rsid w:val="003B6BBF"/>
    <w:rsid w:val="003D2806"/>
    <w:rsid w:val="003D6165"/>
    <w:rsid w:val="003D6C5D"/>
    <w:rsid w:val="003F723F"/>
    <w:rsid w:val="0042047E"/>
    <w:rsid w:val="00420C00"/>
    <w:rsid w:val="00425148"/>
    <w:rsid w:val="004322EE"/>
    <w:rsid w:val="00434A8F"/>
    <w:rsid w:val="0044588A"/>
    <w:rsid w:val="004544C1"/>
    <w:rsid w:val="00455BE6"/>
    <w:rsid w:val="00461DA1"/>
    <w:rsid w:val="00463478"/>
    <w:rsid w:val="004667D2"/>
    <w:rsid w:val="00466DAD"/>
    <w:rsid w:val="004751EE"/>
    <w:rsid w:val="004831F9"/>
    <w:rsid w:val="00484228"/>
    <w:rsid w:val="004A1D23"/>
    <w:rsid w:val="004B316B"/>
    <w:rsid w:val="004B349C"/>
    <w:rsid w:val="004B4169"/>
    <w:rsid w:val="004C31E4"/>
    <w:rsid w:val="004C5828"/>
    <w:rsid w:val="004E215B"/>
    <w:rsid w:val="004E48A5"/>
    <w:rsid w:val="004F221C"/>
    <w:rsid w:val="00512815"/>
    <w:rsid w:val="00514080"/>
    <w:rsid w:val="0053663F"/>
    <w:rsid w:val="005412E2"/>
    <w:rsid w:val="005443C9"/>
    <w:rsid w:val="00572EE8"/>
    <w:rsid w:val="00574842"/>
    <w:rsid w:val="00581DA2"/>
    <w:rsid w:val="0058468F"/>
    <w:rsid w:val="005A19FF"/>
    <w:rsid w:val="005C6A8E"/>
    <w:rsid w:val="005E794F"/>
    <w:rsid w:val="005F2A0B"/>
    <w:rsid w:val="005F452E"/>
    <w:rsid w:val="00620346"/>
    <w:rsid w:val="00631842"/>
    <w:rsid w:val="006457CD"/>
    <w:rsid w:val="0066346F"/>
    <w:rsid w:val="00673C71"/>
    <w:rsid w:val="0068794A"/>
    <w:rsid w:val="0069321C"/>
    <w:rsid w:val="006948D3"/>
    <w:rsid w:val="006C496E"/>
    <w:rsid w:val="006D0C88"/>
    <w:rsid w:val="006D3C7D"/>
    <w:rsid w:val="006D708A"/>
    <w:rsid w:val="006E00BC"/>
    <w:rsid w:val="006E090A"/>
    <w:rsid w:val="006E143E"/>
    <w:rsid w:val="006F63AE"/>
    <w:rsid w:val="00710C7F"/>
    <w:rsid w:val="007328FC"/>
    <w:rsid w:val="0074097D"/>
    <w:rsid w:val="0076679B"/>
    <w:rsid w:val="00783827"/>
    <w:rsid w:val="007904FF"/>
    <w:rsid w:val="00797405"/>
    <w:rsid w:val="007C3284"/>
    <w:rsid w:val="007D12FC"/>
    <w:rsid w:val="007F3826"/>
    <w:rsid w:val="00811FB8"/>
    <w:rsid w:val="008131BB"/>
    <w:rsid w:val="00825CD3"/>
    <w:rsid w:val="00826A94"/>
    <w:rsid w:val="00844AB1"/>
    <w:rsid w:val="00850F7E"/>
    <w:rsid w:val="0085624E"/>
    <w:rsid w:val="00875758"/>
    <w:rsid w:val="008764A7"/>
    <w:rsid w:val="00893734"/>
    <w:rsid w:val="0089718F"/>
    <w:rsid w:val="008A2777"/>
    <w:rsid w:val="008A2D33"/>
    <w:rsid w:val="008A2DA2"/>
    <w:rsid w:val="008B2B0A"/>
    <w:rsid w:val="008D3DE6"/>
    <w:rsid w:val="008D5B08"/>
    <w:rsid w:val="008D6806"/>
    <w:rsid w:val="008E32D7"/>
    <w:rsid w:val="008E45DD"/>
    <w:rsid w:val="00904773"/>
    <w:rsid w:val="00914700"/>
    <w:rsid w:val="00920CF7"/>
    <w:rsid w:val="009353DF"/>
    <w:rsid w:val="00941BE0"/>
    <w:rsid w:val="009445F1"/>
    <w:rsid w:val="00971586"/>
    <w:rsid w:val="00994B25"/>
    <w:rsid w:val="00996085"/>
    <w:rsid w:val="009B22F6"/>
    <w:rsid w:val="009E37AE"/>
    <w:rsid w:val="009F5CA7"/>
    <w:rsid w:val="00A23EAE"/>
    <w:rsid w:val="00A377B4"/>
    <w:rsid w:val="00A37DCD"/>
    <w:rsid w:val="00A432BB"/>
    <w:rsid w:val="00A51C23"/>
    <w:rsid w:val="00A52638"/>
    <w:rsid w:val="00A53EFE"/>
    <w:rsid w:val="00A57C10"/>
    <w:rsid w:val="00A745A5"/>
    <w:rsid w:val="00AA176A"/>
    <w:rsid w:val="00AB3E4B"/>
    <w:rsid w:val="00AC674B"/>
    <w:rsid w:val="00B00ADB"/>
    <w:rsid w:val="00B06E71"/>
    <w:rsid w:val="00B07A40"/>
    <w:rsid w:val="00B11558"/>
    <w:rsid w:val="00B21F9F"/>
    <w:rsid w:val="00B31F0C"/>
    <w:rsid w:val="00B31F3A"/>
    <w:rsid w:val="00B367D4"/>
    <w:rsid w:val="00B37F0B"/>
    <w:rsid w:val="00B51C23"/>
    <w:rsid w:val="00B66E0F"/>
    <w:rsid w:val="00B747DE"/>
    <w:rsid w:val="00B813F3"/>
    <w:rsid w:val="00B84657"/>
    <w:rsid w:val="00B87774"/>
    <w:rsid w:val="00B95068"/>
    <w:rsid w:val="00BA436D"/>
    <w:rsid w:val="00BB429C"/>
    <w:rsid w:val="00BC164E"/>
    <w:rsid w:val="00BC5CDD"/>
    <w:rsid w:val="00BD7ECF"/>
    <w:rsid w:val="00BE402C"/>
    <w:rsid w:val="00C03706"/>
    <w:rsid w:val="00C1485F"/>
    <w:rsid w:val="00C1651A"/>
    <w:rsid w:val="00C17C92"/>
    <w:rsid w:val="00C27006"/>
    <w:rsid w:val="00C27827"/>
    <w:rsid w:val="00C4476B"/>
    <w:rsid w:val="00C501E2"/>
    <w:rsid w:val="00C53587"/>
    <w:rsid w:val="00C54A99"/>
    <w:rsid w:val="00C87E65"/>
    <w:rsid w:val="00C87EF3"/>
    <w:rsid w:val="00CC1532"/>
    <w:rsid w:val="00CC51E2"/>
    <w:rsid w:val="00CC626E"/>
    <w:rsid w:val="00CC67C3"/>
    <w:rsid w:val="00CD1DF9"/>
    <w:rsid w:val="00CD7FCC"/>
    <w:rsid w:val="00D210F4"/>
    <w:rsid w:val="00D27815"/>
    <w:rsid w:val="00D45A22"/>
    <w:rsid w:val="00D462A8"/>
    <w:rsid w:val="00D65158"/>
    <w:rsid w:val="00D65300"/>
    <w:rsid w:val="00D714E0"/>
    <w:rsid w:val="00D83C15"/>
    <w:rsid w:val="00D90472"/>
    <w:rsid w:val="00D93D04"/>
    <w:rsid w:val="00DA0DAE"/>
    <w:rsid w:val="00DC498B"/>
    <w:rsid w:val="00DD4CE7"/>
    <w:rsid w:val="00DE6DCC"/>
    <w:rsid w:val="00DF07FD"/>
    <w:rsid w:val="00DF4302"/>
    <w:rsid w:val="00DF78B4"/>
    <w:rsid w:val="00E01D7B"/>
    <w:rsid w:val="00E06CB3"/>
    <w:rsid w:val="00E2722A"/>
    <w:rsid w:val="00E329E0"/>
    <w:rsid w:val="00E6323A"/>
    <w:rsid w:val="00E65517"/>
    <w:rsid w:val="00E70F7F"/>
    <w:rsid w:val="00E9398F"/>
    <w:rsid w:val="00E95D89"/>
    <w:rsid w:val="00E969BB"/>
    <w:rsid w:val="00EA1A0A"/>
    <w:rsid w:val="00EA3EA5"/>
    <w:rsid w:val="00EA4CD7"/>
    <w:rsid w:val="00EB0EE4"/>
    <w:rsid w:val="00EB2742"/>
    <w:rsid w:val="00EB5C55"/>
    <w:rsid w:val="00ED622F"/>
    <w:rsid w:val="00ED76F1"/>
    <w:rsid w:val="00EE1A8A"/>
    <w:rsid w:val="00EE2871"/>
    <w:rsid w:val="00EE4304"/>
    <w:rsid w:val="00EF012F"/>
    <w:rsid w:val="00EF3BC9"/>
    <w:rsid w:val="00EF48E5"/>
    <w:rsid w:val="00EF7568"/>
    <w:rsid w:val="00F03855"/>
    <w:rsid w:val="00F04EEB"/>
    <w:rsid w:val="00F24154"/>
    <w:rsid w:val="00F4344D"/>
    <w:rsid w:val="00F52DB0"/>
    <w:rsid w:val="00F56619"/>
    <w:rsid w:val="00F81021"/>
    <w:rsid w:val="00F85A1F"/>
    <w:rsid w:val="00F97ED0"/>
    <w:rsid w:val="00FA1ED5"/>
    <w:rsid w:val="00FA6305"/>
    <w:rsid w:val="00FB51EB"/>
    <w:rsid w:val="00FB5A87"/>
    <w:rsid w:val="00FC2AA9"/>
    <w:rsid w:val="00FC514C"/>
    <w:rsid w:val="00FD4D34"/>
    <w:rsid w:val="00FD67FC"/>
    <w:rsid w:val="00FE36E2"/>
    <w:rsid w:val="00FF255A"/>
    <w:rsid w:val="00FF48FE"/>
    <w:rsid w:val="00FF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E16A"/>
  <w15:chartTrackingRefBased/>
  <w15:docId w15:val="{50B8C327-8893-4AC9-A48F-E1F38BBB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777"/>
    <w:pPr>
      <w:spacing w:line="256" w:lineRule="auto"/>
    </w:pPr>
  </w:style>
  <w:style w:type="paragraph" w:styleId="Heading1">
    <w:name w:val="heading 1"/>
    <w:basedOn w:val="Normal"/>
    <w:next w:val="Normal"/>
    <w:link w:val="Heading1Char"/>
    <w:uiPriority w:val="9"/>
    <w:qFormat/>
    <w:rsid w:val="003D2806"/>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10C7F"/>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496E"/>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806"/>
    <w:rPr>
      <w:rFonts w:eastAsiaTheme="majorEastAsia" w:cstheme="majorBidi"/>
      <w:b/>
      <w:szCs w:val="32"/>
    </w:rPr>
  </w:style>
  <w:style w:type="character" w:styleId="Hyperlink">
    <w:name w:val="Hyperlink"/>
    <w:basedOn w:val="DefaultParagraphFont"/>
    <w:uiPriority w:val="99"/>
    <w:unhideWhenUsed/>
    <w:rsid w:val="008A2777"/>
    <w:rPr>
      <w:color w:val="0563C1" w:themeColor="hyperlink"/>
      <w:u w:val="single"/>
    </w:rPr>
  </w:style>
  <w:style w:type="character" w:customStyle="1" w:styleId="NoSpacingChar">
    <w:name w:val="No Spacing Char"/>
    <w:basedOn w:val="DefaultParagraphFont"/>
    <w:link w:val="NoSpacing"/>
    <w:uiPriority w:val="1"/>
    <w:locked/>
    <w:rsid w:val="008A2777"/>
    <w:rPr>
      <w:rFonts w:ascii="Calibri" w:eastAsiaTheme="minorEastAsia" w:hAnsi="Calibri" w:cs="Calibri"/>
      <w:sz w:val="20"/>
    </w:rPr>
  </w:style>
  <w:style w:type="paragraph" w:styleId="NoSpacing">
    <w:name w:val="No Spacing"/>
    <w:link w:val="NoSpacingChar"/>
    <w:uiPriority w:val="1"/>
    <w:qFormat/>
    <w:rsid w:val="008A2777"/>
    <w:pPr>
      <w:spacing w:after="0" w:line="240" w:lineRule="auto"/>
    </w:pPr>
    <w:rPr>
      <w:rFonts w:ascii="Calibri" w:eastAsiaTheme="minorEastAsia" w:hAnsi="Calibri" w:cs="Calibri"/>
      <w:sz w:val="20"/>
    </w:r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basedOn w:val="DefaultParagraphFont"/>
    <w:link w:val="ListParagraph"/>
    <w:uiPriority w:val="34"/>
    <w:qFormat/>
    <w:locked/>
    <w:rsid w:val="008A2777"/>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uiPriority w:val="34"/>
    <w:qFormat/>
    <w:rsid w:val="008A2777"/>
    <w:pPr>
      <w:ind w:left="720"/>
      <w:contextualSpacing/>
    </w:pPr>
  </w:style>
  <w:style w:type="character" w:styleId="Strong">
    <w:name w:val="Strong"/>
    <w:basedOn w:val="DefaultParagraphFont"/>
    <w:uiPriority w:val="22"/>
    <w:qFormat/>
    <w:rsid w:val="00D93D04"/>
    <w:rPr>
      <w:b/>
      <w:bCs/>
    </w:rPr>
  </w:style>
  <w:style w:type="paragraph" w:styleId="CommentText">
    <w:name w:val="annotation text"/>
    <w:basedOn w:val="Normal"/>
    <w:link w:val="CommentTextChar"/>
    <w:uiPriority w:val="99"/>
    <w:semiHidden/>
    <w:unhideWhenUsed/>
    <w:rsid w:val="00FD67FC"/>
    <w:pPr>
      <w:spacing w:line="240" w:lineRule="auto"/>
    </w:pPr>
    <w:rPr>
      <w:sz w:val="20"/>
      <w:szCs w:val="20"/>
    </w:rPr>
  </w:style>
  <w:style w:type="character" w:customStyle="1" w:styleId="CommentTextChar">
    <w:name w:val="Comment Text Char"/>
    <w:basedOn w:val="DefaultParagraphFont"/>
    <w:link w:val="CommentText"/>
    <w:uiPriority w:val="99"/>
    <w:semiHidden/>
    <w:rsid w:val="00FD67FC"/>
    <w:rPr>
      <w:sz w:val="20"/>
      <w:szCs w:val="20"/>
    </w:rPr>
  </w:style>
  <w:style w:type="paragraph" w:styleId="NormalWeb">
    <w:name w:val="Normal (Web)"/>
    <w:basedOn w:val="Normal"/>
    <w:uiPriority w:val="99"/>
    <w:unhideWhenUsed/>
    <w:rsid w:val="00A53E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53EFE"/>
    <w:rPr>
      <w:i/>
      <w:iCs/>
    </w:rPr>
  </w:style>
  <w:style w:type="paragraph" w:styleId="FootnoteText">
    <w:name w:val="footnote text"/>
    <w:aliases w:val="-E Fußnotentext,Boston 10,Car,Font: Geneva 9,Footnote,Footnote Text Char Char,Footnote ak,Footnotes,Footnotes Char Char,Footnotetext,Fußnote,Fußnotentext Ursprung,Geneva 9,f,fn,fn Char Char,fn cafc,footnote text Char Char Char Ch,ft"/>
    <w:basedOn w:val="Normal"/>
    <w:link w:val="FootnoteTextChar"/>
    <w:uiPriority w:val="99"/>
    <w:unhideWhenUsed/>
    <w:qFormat/>
    <w:rsid w:val="004667D2"/>
    <w:pPr>
      <w:spacing w:after="0" w:line="240" w:lineRule="auto"/>
    </w:pPr>
    <w:rPr>
      <w:sz w:val="20"/>
      <w:szCs w:val="20"/>
    </w:rPr>
  </w:style>
  <w:style w:type="character" w:customStyle="1" w:styleId="FootnoteTextChar">
    <w:name w:val="Footnote Text Char"/>
    <w:aliases w:val="-E Fußnotentext Char,Boston 10 Char,Car Char,Font: Geneva 9 Char,Footnote Char,Footnote Text Char Char Char,Footnote ak Char,Footnotes Char,Footnotes Char Char Char,Footnotetext Char,Fußnote Char,Fußnotentext Ursprung Char,f Char"/>
    <w:basedOn w:val="DefaultParagraphFont"/>
    <w:link w:val="FootnoteText"/>
    <w:uiPriority w:val="99"/>
    <w:rsid w:val="004667D2"/>
    <w:rPr>
      <w:sz w:val="20"/>
      <w:szCs w:val="20"/>
    </w:rPr>
  </w:style>
  <w:style w:type="character" w:styleId="FootnoteReference">
    <w:name w:val="footnote reference"/>
    <w:aliases w:val="(NECG) Footnote Reference,-E Fußnotenzeichen,16 Point,BVI fnr,EN Footnote Reference,FO,FnR-ANZDEC,Footnote Ref in FtNote,Footnote Reference Number,Fußnotenzeichen DISS,Ref,SUPERS,Superscript 6 Point,de nota al pie,fr,ftref,number"/>
    <w:basedOn w:val="DefaultParagraphFont"/>
    <w:link w:val="BVIfnrCarattereCharCharCharCarattereCharCharCharCharCharChar1CharCharCharCarattereChar"/>
    <w:uiPriority w:val="99"/>
    <w:unhideWhenUsed/>
    <w:rsid w:val="004667D2"/>
    <w:rPr>
      <w:vertAlign w:val="superscript"/>
    </w:rPr>
  </w:style>
  <w:style w:type="table" w:styleId="TableGrid">
    <w:name w:val="Table Grid"/>
    <w:basedOn w:val="TableNormal"/>
    <w:uiPriority w:val="59"/>
    <w:rsid w:val="00C1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10C7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F2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0B"/>
  </w:style>
  <w:style w:type="paragraph" w:styleId="Footer">
    <w:name w:val="footer"/>
    <w:basedOn w:val="Normal"/>
    <w:link w:val="FooterChar"/>
    <w:uiPriority w:val="99"/>
    <w:unhideWhenUsed/>
    <w:rsid w:val="005F2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0B"/>
  </w:style>
  <w:style w:type="character" w:customStyle="1" w:styleId="apple-converted-space">
    <w:name w:val="apple-converted-space"/>
    <w:basedOn w:val="DefaultParagraphFont"/>
    <w:rsid w:val="00BE402C"/>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E969BB"/>
    <w:pPr>
      <w:spacing w:line="240" w:lineRule="exact"/>
    </w:pPr>
    <w:rPr>
      <w:vertAlign w:val="superscript"/>
    </w:rPr>
  </w:style>
  <w:style w:type="character" w:styleId="CommentReference">
    <w:name w:val="annotation reference"/>
    <w:basedOn w:val="DefaultParagraphFont"/>
    <w:uiPriority w:val="99"/>
    <w:semiHidden/>
    <w:unhideWhenUsed/>
    <w:rsid w:val="00282FEE"/>
    <w:rPr>
      <w:sz w:val="16"/>
      <w:szCs w:val="16"/>
    </w:rPr>
  </w:style>
  <w:style w:type="paragraph" w:styleId="CommentSubject">
    <w:name w:val="annotation subject"/>
    <w:basedOn w:val="CommentText"/>
    <w:next w:val="CommentText"/>
    <w:link w:val="CommentSubjectChar"/>
    <w:uiPriority w:val="99"/>
    <w:semiHidden/>
    <w:unhideWhenUsed/>
    <w:rsid w:val="00282FEE"/>
    <w:rPr>
      <w:b/>
      <w:bCs/>
    </w:rPr>
  </w:style>
  <w:style w:type="character" w:customStyle="1" w:styleId="CommentSubjectChar">
    <w:name w:val="Comment Subject Char"/>
    <w:basedOn w:val="CommentTextChar"/>
    <w:link w:val="CommentSubject"/>
    <w:uiPriority w:val="99"/>
    <w:semiHidden/>
    <w:rsid w:val="00282FEE"/>
    <w:rPr>
      <w:b/>
      <w:bCs/>
      <w:sz w:val="20"/>
      <w:szCs w:val="20"/>
    </w:rPr>
  </w:style>
  <w:style w:type="character" w:customStyle="1" w:styleId="Heading3Char">
    <w:name w:val="Heading 3 Char"/>
    <w:basedOn w:val="DefaultParagraphFont"/>
    <w:link w:val="Heading3"/>
    <w:uiPriority w:val="9"/>
    <w:rsid w:val="006C496E"/>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6C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496E"/>
    <w:rPr>
      <w:color w:val="605E5C"/>
      <w:shd w:val="clear" w:color="auto" w:fill="E1DFDD"/>
    </w:rPr>
  </w:style>
  <w:style w:type="paragraph" w:styleId="Title">
    <w:name w:val="Title"/>
    <w:basedOn w:val="Normal"/>
    <w:link w:val="TitleChar"/>
    <w:uiPriority w:val="10"/>
    <w:qFormat/>
    <w:rsid w:val="00512815"/>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uiPriority w:val="10"/>
    <w:rsid w:val="00512815"/>
    <w:rPr>
      <w:rFonts w:ascii="Times New Roman" w:eastAsia="Times New Roman" w:hAnsi="Times New Roman" w:cs="Times New Roman"/>
      <w:b/>
      <w:sz w:val="20"/>
      <w:szCs w:val="20"/>
    </w:rPr>
  </w:style>
  <w:style w:type="paragraph" w:styleId="TOCHeading">
    <w:name w:val="TOC Heading"/>
    <w:basedOn w:val="Heading1"/>
    <w:next w:val="Normal"/>
    <w:uiPriority w:val="39"/>
    <w:unhideWhenUsed/>
    <w:qFormat/>
    <w:rsid w:val="003D2806"/>
    <w:pPr>
      <w:spacing w:line="259" w:lineRule="auto"/>
      <w:outlineLvl w:val="9"/>
    </w:pPr>
  </w:style>
  <w:style w:type="paragraph" w:styleId="TOC2">
    <w:name w:val="toc 2"/>
    <w:basedOn w:val="Normal"/>
    <w:next w:val="Normal"/>
    <w:autoRedefine/>
    <w:uiPriority w:val="39"/>
    <w:unhideWhenUsed/>
    <w:rsid w:val="003D2806"/>
    <w:pPr>
      <w:spacing w:after="100"/>
      <w:ind w:left="220"/>
    </w:pPr>
  </w:style>
  <w:style w:type="paragraph" w:styleId="TOC1">
    <w:name w:val="toc 1"/>
    <w:basedOn w:val="Normal"/>
    <w:next w:val="Normal"/>
    <w:autoRedefine/>
    <w:uiPriority w:val="39"/>
    <w:unhideWhenUsed/>
    <w:rsid w:val="003D2806"/>
    <w:pPr>
      <w:spacing w:after="100"/>
    </w:pPr>
  </w:style>
  <w:style w:type="paragraph" w:styleId="TOC3">
    <w:name w:val="toc 3"/>
    <w:basedOn w:val="Normal"/>
    <w:next w:val="Normal"/>
    <w:autoRedefine/>
    <w:uiPriority w:val="39"/>
    <w:unhideWhenUsed/>
    <w:rsid w:val="003D280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558">
      <w:bodyDiv w:val="1"/>
      <w:marLeft w:val="0"/>
      <w:marRight w:val="0"/>
      <w:marTop w:val="0"/>
      <w:marBottom w:val="0"/>
      <w:divBdr>
        <w:top w:val="none" w:sz="0" w:space="0" w:color="auto"/>
        <w:left w:val="none" w:sz="0" w:space="0" w:color="auto"/>
        <w:bottom w:val="none" w:sz="0" w:space="0" w:color="auto"/>
        <w:right w:val="none" w:sz="0" w:space="0" w:color="auto"/>
      </w:divBdr>
    </w:div>
    <w:div w:id="744841768">
      <w:bodyDiv w:val="1"/>
      <w:marLeft w:val="0"/>
      <w:marRight w:val="0"/>
      <w:marTop w:val="0"/>
      <w:marBottom w:val="0"/>
      <w:divBdr>
        <w:top w:val="none" w:sz="0" w:space="0" w:color="auto"/>
        <w:left w:val="none" w:sz="0" w:space="0" w:color="auto"/>
        <w:bottom w:val="none" w:sz="0" w:space="0" w:color="auto"/>
        <w:right w:val="none" w:sz="0" w:space="0" w:color="auto"/>
      </w:divBdr>
    </w:div>
    <w:div w:id="1359815610">
      <w:bodyDiv w:val="1"/>
      <w:marLeft w:val="0"/>
      <w:marRight w:val="0"/>
      <w:marTop w:val="0"/>
      <w:marBottom w:val="0"/>
      <w:divBdr>
        <w:top w:val="none" w:sz="0" w:space="0" w:color="auto"/>
        <w:left w:val="none" w:sz="0" w:space="0" w:color="auto"/>
        <w:bottom w:val="none" w:sz="0" w:space="0" w:color="auto"/>
        <w:right w:val="none" w:sz="0" w:space="0" w:color="auto"/>
      </w:divBdr>
    </w:div>
    <w:div w:id="1860580783">
      <w:bodyDiv w:val="1"/>
      <w:marLeft w:val="0"/>
      <w:marRight w:val="0"/>
      <w:marTop w:val="0"/>
      <w:marBottom w:val="0"/>
      <w:divBdr>
        <w:top w:val="none" w:sz="0" w:space="0" w:color="auto"/>
        <w:left w:val="none" w:sz="0" w:space="0" w:color="auto"/>
        <w:bottom w:val="none" w:sz="0" w:space="0" w:color="auto"/>
        <w:right w:val="none" w:sz="0" w:space="0" w:color="auto"/>
      </w:divBdr>
    </w:div>
    <w:div w:id="1958024020">
      <w:bodyDiv w:val="1"/>
      <w:marLeft w:val="0"/>
      <w:marRight w:val="0"/>
      <w:marTop w:val="0"/>
      <w:marBottom w:val="0"/>
      <w:divBdr>
        <w:top w:val="none" w:sz="0" w:space="0" w:color="auto"/>
        <w:left w:val="none" w:sz="0" w:space="0" w:color="auto"/>
        <w:bottom w:val="none" w:sz="0" w:space="0" w:color="auto"/>
        <w:right w:val="none" w:sz="0" w:space="0" w:color="auto"/>
      </w:divBdr>
    </w:div>
    <w:div w:id="19707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pf@cepf.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rievances@worldbank.org" TargetMode="External"/><Relationship Id="rId23" Type="http://schemas.openxmlformats.org/officeDocument/2006/relationships/hyperlink" Target="about:blank" TargetMode="External"/><Relationship Id="rId10" Type="http://schemas.openxmlformats.org/officeDocument/2006/relationships/hyperlink" Target="mailto:Executive.Director@canari.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3AxWiUP"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B2524-F463-4F83-B6B4-C3171B58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34</Pages>
  <Words>15926</Words>
  <Characters>87595</Characters>
  <Application>Microsoft Office Word</Application>
  <DocSecurity>0</DocSecurity>
  <Lines>729</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Cadiz-Hadeed</dc:creator>
  <cp:keywords/>
  <dc:description/>
  <cp:lastModifiedBy>Wendy Dyemma-Harper</cp:lastModifiedBy>
  <cp:revision>29</cp:revision>
  <cp:lastPrinted>2022-06-03T20:01:00Z</cp:lastPrinted>
  <dcterms:created xsi:type="dcterms:W3CDTF">2022-04-08T22:04:00Z</dcterms:created>
  <dcterms:modified xsi:type="dcterms:W3CDTF">2022-06-03T20:01:00Z</dcterms:modified>
</cp:coreProperties>
</file>