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34537" w14:textId="108F3298" w:rsidR="00662F4A" w:rsidRDefault="00B51830" w:rsidP="78DE4DD4">
      <w:pPr>
        <w:rPr>
          <w:rFonts w:asciiTheme="majorHAnsi" w:hAnsiTheme="majorHAnsi"/>
          <w:noProof/>
          <w:color w:val="0D0D0D" w:themeColor="text1" w:themeTint="F2"/>
          <w:sz w:val="30"/>
          <w:szCs w:val="30"/>
        </w:rPr>
      </w:pPr>
      <w:r>
        <w:rPr>
          <w:noProof/>
        </w:rPr>
        <w:drawing>
          <wp:anchor distT="0" distB="0" distL="114300" distR="114300" simplePos="0" relativeHeight="251660288" behindDoc="0" locked="0" layoutInCell="1" allowOverlap="1" wp14:anchorId="08BF2E61" wp14:editId="6094A2AC">
            <wp:simplePos x="0" y="0"/>
            <wp:positionH relativeFrom="column">
              <wp:posOffset>-381249</wp:posOffset>
            </wp:positionH>
            <wp:positionV relativeFrom="paragraph">
              <wp:posOffset>7482</wp:posOffset>
            </wp:positionV>
            <wp:extent cx="2479040" cy="822960"/>
            <wp:effectExtent l="0" t="0" r="0" b="0"/>
            <wp:wrapSquare wrapText="bothSides"/>
            <wp:docPr id="1792001987"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479040" cy="822960"/>
                    </a:xfrm>
                    <a:prstGeom prst="rect">
                      <a:avLst/>
                    </a:prstGeom>
                  </pic:spPr>
                </pic:pic>
              </a:graphicData>
            </a:graphic>
            <wp14:sizeRelH relativeFrom="page">
              <wp14:pctWidth>0</wp14:pctWidth>
            </wp14:sizeRelH>
            <wp14:sizeRelV relativeFrom="page">
              <wp14:pctHeight>0</wp14:pctHeight>
            </wp14:sizeRelV>
          </wp:anchor>
        </w:drawing>
      </w:r>
      <w:r w:rsidR="00662F4A" w:rsidRPr="78DE4DD4">
        <w:rPr>
          <w:rFonts w:asciiTheme="majorHAnsi" w:hAnsiTheme="majorHAnsi"/>
          <w:noProof/>
          <w:color w:val="000000" w:themeColor="text1"/>
          <w:sz w:val="30"/>
          <w:szCs w:val="30"/>
        </w:rPr>
        <w:t xml:space="preserve">                                              </w:t>
      </w:r>
      <w:bookmarkStart w:id="0" w:name="_Hlk76809917"/>
      <w:bookmarkEnd w:id="0"/>
    </w:p>
    <w:p w14:paraId="05032C6C" w14:textId="68501777" w:rsidR="00662F4A" w:rsidRDefault="00662F4A" w:rsidP="00662F4A">
      <w:pPr>
        <w:jc w:val="center"/>
        <w:rPr>
          <w:rFonts w:asciiTheme="majorHAnsi" w:hAnsiTheme="majorHAnsi"/>
          <w:noProof/>
          <w:color w:val="0D0D0D" w:themeColor="text1" w:themeTint="F2"/>
          <w:sz w:val="30"/>
          <w:szCs w:val="30"/>
        </w:rPr>
      </w:pPr>
    </w:p>
    <w:p w14:paraId="1FB6ECED" w14:textId="4FB48E94" w:rsidR="00085C28" w:rsidRDefault="00085C28" w:rsidP="00085C28">
      <w:pPr>
        <w:jc w:val="center"/>
        <w:rPr>
          <w:b/>
          <w:bCs/>
          <w:sz w:val="36"/>
          <w:szCs w:val="36"/>
        </w:rPr>
      </w:pPr>
    </w:p>
    <w:p w14:paraId="233B57C6" w14:textId="77777777" w:rsidR="00E77FB0" w:rsidRDefault="00E77FB0" w:rsidP="00085C28">
      <w:pPr>
        <w:jc w:val="center"/>
        <w:rPr>
          <w:b/>
          <w:bCs/>
          <w:sz w:val="36"/>
          <w:szCs w:val="36"/>
        </w:rPr>
      </w:pPr>
    </w:p>
    <w:p w14:paraId="25A0F721" w14:textId="77777777" w:rsidR="00E77FB0" w:rsidRDefault="00E77FB0" w:rsidP="00085C28">
      <w:pPr>
        <w:jc w:val="center"/>
        <w:rPr>
          <w:b/>
          <w:bCs/>
          <w:sz w:val="36"/>
          <w:szCs w:val="36"/>
        </w:rPr>
      </w:pPr>
    </w:p>
    <w:p w14:paraId="1F2FB5A7" w14:textId="36A2FBC1" w:rsidR="00085C28" w:rsidRDefault="00085C28" w:rsidP="00085C28">
      <w:pPr>
        <w:jc w:val="center"/>
        <w:rPr>
          <w:b/>
          <w:bCs/>
          <w:sz w:val="36"/>
          <w:szCs w:val="36"/>
        </w:rPr>
      </w:pPr>
      <w:r>
        <w:rPr>
          <w:b/>
          <w:bCs/>
          <w:sz w:val="36"/>
          <w:szCs w:val="36"/>
        </w:rPr>
        <w:t xml:space="preserve">Labor Management Procedures </w:t>
      </w:r>
    </w:p>
    <w:p w14:paraId="65CBCBC0" w14:textId="793056AA" w:rsidR="00662F4A" w:rsidRPr="007D751D" w:rsidRDefault="00085C28" w:rsidP="001A4BAD">
      <w:pPr>
        <w:jc w:val="center"/>
        <w:rPr>
          <w:rFonts w:cstheme="minorHAnsi"/>
          <w:noProof/>
          <w:sz w:val="28"/>
          <w:szCs w:val="28"/>
        </w:rPr>
      </w:pPr>
      <w:bookmarkStart w:id="1" w:name="_Hlk76809603"/>
      <w:r w:rsidRPr="007D751D">
        <w:rPr>
          <w:rFonts w:cstheme="minorHAnsi"/>
          <w:noProof/>
          <w:sz w:val="28"/>
          <w:szCs w:val="28"/>
        </w:rPr>
        <w:t>July 10, 2021</w:t>
      </w:r>
    </w:p>
    <w:p w14:paraId="506658A8" w14:textId="49A64E18" w:rsidR="001A4BAD" w:rsidRPr="007D751D" w:rsidRDefault="001A4BAD" w:rsidP="001A4BAD">
      <w:pPr>
        <w:jc w:val="center"/>
        <w:rPr>
          <w:rFonts w:cstheme="minorHAnsi"/>
          <w:noProof/>
          <w:sz w:val="28"/>
          <w:szCs w:val="28"/>
        </w:rPr>
      </w:pPr>
      <w:r w:rsidRPr="007D751D">
        <w:rPr>
          <w:rFonts w:cstheme="minorHAnsi"/>
          <w:b/>
          <w:bCs/>
          <w:sz w:val="28"/>
          <w:szCs w:val="28"/>
        </w:rPr>
        <w:t xml:space="preserve">CEPF Grant </w:t>
      </w:r>
      <w:r w:rsidRPr="007D751D">
        <w:rPr>
          <w:rFonts w:cstheme="minorHAnsi"/>
          <w:b/>
          <w:bCs/>
          <w:color w:val="202124"/>
          <w:sz w:val="28"/>
          <w:szCs w:val="28"/>
          <w:shd w:val="clear" w:color="auto" w:fill="FFFFFF"/>
        </w:rPr>
        <w:t>111512</w:t>
      </w:r>
    </w:p>
    <w:p w14:paraId="6D2C4C33" w14:textId="32E3C50A" w:rsidR="00085C28" w:rsidRPr="007D751D" w:rsidRDefault="00085C28" w:rsidP="001A4BAD">
      <w:pPr>
        <w:jc w:val="center"/>
        <w:rPr>
          <w:rFonts w:eastAsiaTheme="majorEastAsia" w:cstheme="minorHAnsi"/>
          <w:spacing w:val="-10"/>
          <w:kern w:val="28"/>
          <w:sz w:val="28"/>
          <w:szCs w:val="28"/>
        </w:rPr>
      </w:pPr>
      <w:r w:rsidRPr="007D751D">
        <w:rPr>
          <w:rFonts w:eastAsiaTheme="majorEastAsia" w:cstheme="minorHAnsi"/>
          <w:spacing w:val="-10"/>
          <w:kern w:val="28"/>
          <w:sz w:val="28"/>
          <w:szCs w:val="28"/>
        </w:rPr>
        <w:t xml:space="preserve">Instituto </w:t>
      </w:r>
      <w:proofErr w:type="spellStart"/>
      <w:r w:rsidRPr="007D751D">
        <w:rPr>
          <w:rFonts w:eastAsiaTheme="majorEastAsia" w:cstheme="minorHAnsi"/>
          <w:spacing w:val="-10"/>
          <w:kern w:val="28"/>
          <w:sz w:val="28"/>
          <w:szCs w:val="28"/>
        </w:rPr>
        <w:t>Tecnológico</w:t>
      </w:r>
      <w:proofErr w:type="spellEnd"/>
      <w:r w:rsidRPr="007D751D">
        <w:rPr>
          <w:rFonts w:eastAsiaTheme="majorEastAsia" w:cstheme="minorHAnsi"/>
          <w:spacing w:val="-10"/>
          <w:kern w:val="28"/>
          <w:sz w:val="28"/>
          <w:szCs w:val="28"/>
        </w:rPr>
        <w:t xml:space="preserve"> de Santo Domingo (INTEC)</w:t>
      </w:r>
      <w:r w:rsidR="000614B5" w:rsidRPr="007D751D">
        <w:rPr>
          <w:rFonts w:eastAsiaTheme="majorEastAsia" w:cstheme="minorHAnsi"/>
          <w:spacing w:val="-10"/>
          <w:kern w:val="28"/>
          <w:sz w:val="28"/>
          <w:szCs w:val="28"/>
        </w:rPr>
        <w:t xml:space="preserve"> and Integrated Health Outreach Inc. (IHO)</w:t>
      </w:r>
    </w:p>
    <w:p w14:paraId="57743ACF" w14:textId="77777777" w:rsidR="00085C28" w:rsidRPr="007D751D" w:rsidRDefault="00085C28" w:rsidP="001A4BAD">
      <w:pPr>
        <w:jc w:val="center"/>
        <w:rPr>
          <w:rFonts w:eastAsiaTheme="majorEastAsia" w:cstheme="minorHAnsi"/>
          <w:spacing w:val="-10"/>
          <w:kern w:val="28"/>
          <w:sz w:val="28"/>
          <w:szCs w:val="28"/>
        </w:rPr>
      </w:pPr>
    </w:p>
    <w:p w14:paraId="210101D3" w14:textId="77777777" w:rsidR="00085C28" w:rsidRPr="007D751D" w:rsidRDefault="00085C28" w:rsidP="001A4BAD">
      <w:pPr>
        <w:jc w:val="center"/>
        <w:rPr>
          <w:rFonts w:eastAsiaTheme="majorEastAsia" w:cstheme="minorHAnsi"/>
          <w:spacing w:val="-10"/>
          <w:kern w:val="28"/>
          <w:sz w:val="28"/>
          <w:szCs w:val="28"/>
        </w:rPr>
      </w:pPr>
      <w:r w:rsidRPr="007D751D">
        <w:rPr>
          <w:rFonts w:eastAsiaTheme="majorEastAsia" w:cstheme="minorHAnsi"/>
          <w:spacing w:val="-10"/>
          <w:kern w:val="28"/>
          <w:sz w:val="28"/>
          <w:szCs w:val="28"/>
        </w:rPr>
        <w:t>Collaborative Social Accountability for Improved Governance in Protecting Biodiversity Hotspots Project</w:t>
      </w:r>
    </w:p>
    <w:p w14:paraId="3EAFC156" w14:textId="77777777" w:rsidR="00085C28" w:rsidRPr="007D751D" w:rsidRDefault="00085C28" w:rsidP="001A4BAD">
      <w:pPr>
        <w:jc w:val="center"/>
        <w:rPr>
          <w:rFonts w:eastAsiaTheme="majorEastAsia" w:cstheme="minorHAnsi"/>
          <w:spacing w:val="-10"/>
          <w:kern w:val="28"/>
          <w:sz w:val="28"/>
          <w:szCs w:val="28"/>
        </w:rPr>
      </w:pPr>
    </w:p>
    <w:p w14:paraId="7798D73B" w14:textId="77777777" w:rsidR="00085C28" w:rsidRPr="007D751D" w:rsidRDefault="00085C28" w:rsidP="001A4BAD">
      <w:pPr>
        <w:jc w:val="center"/>
        <w:rPr>
          <w:rFonts w:cstheme="minorHAnsi"/>
          <w:sz w:val="28"/>
          <w:szCs w:val="28"/>
        </w:rPr>
      </w:pPr>
      <w:r w:rsidRPr="007D751D">
        <w:rPr>
          <w:rFonts w:eastAsiaTheme="majorEastAsia" w:cstheme="minorHAnsi"/>
          <w:spacing w:val="-10"/>
          <w:kern w:val="28"/>
          <w:sz w:val="28"/>
          <w:szCs w:val="28"/>
        </w:rPr>
        <w:t>Dominican Republic, Antigua and Barbuda, Jamaica, and Saint Lucia</w:t>
      </w:r>
    </w:p>
    <w:bookmarkEnd w:id="1"/>
    <w:p w14:paraId="56547E82" w14:textId="77777777" w:rsidR="00662F4A" w:rsidRDefault="00662F4A" w:rsidP="00662F4A">
      <w:pPr>
        <w:jc w:val="center"/>
        <w:rPr>
          <w:rFonts w:asciiTheme="majorHAnsi" w:hAnsiTheme="majorHAnsi"/>
          <w:noProof/>
          <w:color w:val="0D0D0D" w:themeColor="text1" w:themeTint="F2"/>
          <w:sz w:val="30"/>
          <w:szCs w:val="30"/>
        </w:rPr>
      </w:pPr>
    </w:p>
    <w:p w14:paraId="6EBD81DA" w14:textId="77777777" w:rsidR="00662F4A" w:rsidRDefault="00662F4A" w:rsidP="00662F4A">
      <w:pPr>
        <w:jc w:val="center"/>
        <w:rPr>
          <w:rFonts w:asciiTheme="majorHAnsi" w:hAnsiTheme="majorHAnsi"/>
          <w:b/>
          <w:bCs/>
          <w:noProof/>
          <w:color w:val="0D0D0D" w:themeColor="text1" w:themeTint="F2"/>
          <w:sz w:val="30"/>
          <w:szCs w:val="30"/>
        </w:rPr>
      </w:pPr>
    </w:p>
    <w:p w14:paraId="772B82ED" w14:textId="77777777" w:rsidR="00662F4A" w:rsidRDefault="00662F4A" w:rsidP="00662F4A">
      <w:pPr>
        <w:jc w:val="center"/>
        <w:rPr>
          <w:rFonts w:asciiTheme="majorHAnsi" w:hAnsiTheme="majorHAnsi"/>
          <w:b/>
          <w:bCs/>
          <w:noProof/>
          <w:color w:val="0D0D0D" w:themeColor="text1" w:themeTint="F2"/>
          <w:sz w:val="30"/>
          <w:szCs w:val="30"/>
        </w:rPr>
      </w:pPr>
    </w:p>
    <w:p w14:paraId="5B4AC33E" w14:textId="77777777" w:rsidR="00662F4A" w:rsidRDefault="00662F4A" w:rsidP="00662F4A">
      <w:pPr>
        <w:jc w:val="center"/>
        <w:rPr>
          <w:rFonts w:asciiTheme="majorHAnsi" w:hAnsiTheme="majorHAnsi"/>
          <w:b/>
          <w:bCs/>
          <w:noProof/>
          <w:color w:val="0D0D0D" w:themeColor="text1" w:themeTint="F2"/>
          <w:sz w:val="30"/>
          <w:szCs w:val="30"/>
        </w:rPr>
      </w:pPr>
    </w:p>
    <w:p w14:paraId="1C9FFCFD" w14:textId="77777777" w:rsidR="00662F4A" w:rsidRDefault="00662F4A" w:rsidP="00662F4A">
      <w:pPr>
        <w:jc w:val="center"/>
        <w:rPr>
          <w:b/>
          <w:bCs/>
          <w:sz w:val="36"/>
          <w:szCs w:val="36"/>
        </w:rPr>
      </w:pPr>
    </w:p>
    <w:p w14:paraId="40B93261" w14:textId="77777777" w:rsidR="00662F4A" w:rsidRDefault="00662F4A" w:rsidP="00662F4A">
      <w:pPr>
        <w:jc w:val="center"/>
        <w:rPr>
          <w:b/>
          <w:bCs/>
          <w:sz w:val="36"/>
          <w:szCs w:val="36"/>
        </w:rPr>
      </w:pPr>
    </w:p>
    <w:p w14:paraId="1BCE7D1F" w14:textId="77777777" w:rsidR="00662F4A" w:rsidRDefault="00662F4A" w:rsidP="00662F4A">
      <w:pPr>
        <w:jc w:val="center"/>
        <w:rPr>
          <w:b/>
          <w:bCs/>
          <w:sz w:val="36"/>
          <w:szCs w:val="36"/>
        </w:rPr>
      </w:pPr>
    </w:p>
    <w:p w14:paraId="5BA2C57C" w14:textId="77777777" w:rsidR="00662F4A" w:rsidRDefault="00662F4A" w:rsidP="00662F4A">
      <w:pPr>
        <w:jc w:val="center"/>
        <w:rPr>
          <w:b/>
          <w:bCs/>
          <w:sz w:val="36"/>
          <w:szCs w:val="36"/>
        </w:rPr>
      </w:pPr>
    </w:p>
    <w:p w14:paraId="0E7EFADE" w14:textId="77777777" w:rsidR="00662F4A" w:rsidRDefault="00662F4A" w:rsidP="00662F4A">
      <w:pPr>
        <w:rPr>
          <w:b/>
          <w:bCs/>
          <w:sz w:val="36"/>
          <w:szCs w:val="36"/>
        </w:rPr>
      </w:pPr>
    </w:p>
    <w:p w14:paraId="386AE1CD" w14:textId="77777777" w:rsidR="00662F4A" w:rsidRDefault="00662F4A" w:rsidP="00662F4A">
      <w:pPr>
        <w:jc w:val="center"/>
        <w:rPr>
          <w:b/>
          <w:bCs/>
          <w:sz w:val="36"/>
          <w:szCs w:val="36"/>
        </w:rPr>
      </w:pPr>
    </w:p>
    <w:sdt>
      <w:sdtPr>
        <w:rPr>
          <w:rFonts w:eastAsiaTheme="minorHAnsi" w:cstheme="minorBidi"/>
          <w:b w:val="0"/>
          <w:szCs w:val="22"/>
        </w:rPr>
        <w:id w:val="1016582397"/>
        <w:docPartObj>
          <w:docPartGallery w:val="Table of Contents"/>
          <w:docPartUnique/>
        </w:docPartObj>
      </w:sdtPr>
      <w:sdtEndPr>
        <w:rPr>
          <w:bCs/>
          <w:noProof/>
        </w:rPr>
      </w:sdtEndPr>
      <w:sdtContent>
        <w:p w14:paraId="165EF545" w14:textId="5B04556B" w:rsidR="00681E7E" w:rsidRDefault="00681E7E" w:rsidP="001F2D19">
          <w:pPr>
            <w:pStyle w:val="TOCHeading"/>
            <w:numPr>
              <w:ilvl w:val="0"/>
              <w:numId w:val="0"/>
            </w:numPr>
          </w:pPr>
          <w:r>
            <w:t>Contents</w:t>
          </w:r>
        </w:p>
        <w:p w14:paraId="5AA00AF1" w14:textId="7B3BF7FB" w:rsidR="00F46CB4" w:rsidRDefault="00681E7E">
          <w:pPr>
            <w:pStyle w:val="TOC1"/>
            <w:tabs>
              <w:tab w:val="right" w:leader="dot" w:pos="9350"/>
            </w:tabs>
            <w:rPr>
              <w:rFonts w:eastAsiaTheme="minorEastAsia"/>
              <w:noProof/>
              <w:lang w:val="en-CA" w:eastAsia="en-CA"/>
            </w:rPr>
          </w:pPr>
          <w:r>
            <w:fldChar w:fldCharType="begin"/>
          </w:r>
          <w:r>
            <w:instrText xml:space="preserve"> TOC \o "1-3" \h \z \u </w:instrText>
          </w:r>
          <w:r>
            <w:fldChar w:fldCharType="separate"/>
          </w:r>
          <w:hyperlink w:anchor="_Toc77191085" w:history="1">
            <w:r w:rsidR="00F46CB4" w:rsidRPr="00FD2912">
              <w:rPr>
                <w:rStyle w:val="Hyperlink"/>
                <w:noProof/>
              </w:rPr>
              <w:t>Grant Summary</w:t>
            </w:r>
            <w:r w:rsidR="00F46CB4">
              <w:rPr>
                <w:noProof/>
                <w:webHidden/>
              </w:rPr>
              <w:tab/>
            </w:r>
            <w:r w:rsidR="00F46CB4">
              <w:rPr>
                <w:noProof/>
                <w:webHidden/>
              </w:rPr>
              <w:fldChar w:fldCharType="begin"/>
            </w:r>
            <w:r w:rsidR="00F46CB4">
              <w:rPr>
                <w:noProof/>
                <w:webHidden/>
              </w:rPr>
              <w:instrText xml:space="preserve"> PAGEREF _Toc77191085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48D0ADC5" w14:textId="53CC395C" w:rsidR="00F46CB4" w:rsidRDefault="00CA5582">
          <w:pPr>
            <w:pStyle w:val="TOC1"/>
            <w:tabs>
              <w:tab w:val="left" w:pos="440"/>
              <w:tab w:val="right" w:leader="dot" w:pos="9350"/>
            </w:tabs>
            <w:rPr>
              <w:rFonts w:eastAsiaTheme="minorEastAsia"/>
              <w:noProof/>
              <w:lang w:val="en-CA" w:eastAsia="en-CA"/>
            </w:rPr>
          </w:pPr>
          <w:hyperlink w:anchor="_Toc77191086" w:history="1">
            <w:r w:rsidR="00F46CB4" w:rsidRPr="00FD2912">
              <w:rPr>
                <w:rStyle w:val="Hyperlink"/>
                <w:rFonts w:cstheme="minorHAnsi"/>
                <w:bCs/>
                <w:noProof/>
                <w:lang w:val="es-419"/>
              </w:rPr>
              <w:t>1.</w:t>
            </w:r>
            <w:r w:rsidR="00F46CB4">
              <w:rPr>
                <w:rFonts w:eastAsiaTheme="minorEastAsia"/>
                <w:noProof/>
                <w:lang w:val="en-CA" w:eastAsia="en-CA"/>
              </w:rPr>
              <w:tab/>
            </w:r>
            <w:r w:rsidR="00F46CB4" w:rsidRPr="00FD2912">
              <w:rPr>
                <w:rStyle w:val="Hyperlink"/>
                <w:rFonts w:cstheme="minorHAnsi"/>
                <w:bCs/>
                <w:noProof/>
                <w:lang w:val="es-419"/>
              </w:rPr>
              <w:t>Grantee organization</w:t>
            </w:r>
            <w:r w:rsidR="00F46CB4" w:rsidRPr="00FD2912">
              <w:rPr>
                <w:rStyle w:val="Hyperlink"/>
                <w:rFonts w:cstheme="minorHAnsi"/>
                <w:noProof/>
                <w:lang w:val="es-419"/>
              </w:rPr>
              <w:t xml:space="preserve">: </w:t>
            </w:r>
            <w:r w:rsidR="00F46CB4" w:rsidRPr="00FD2912">
              <w:rPr>
                <w:rStyle w:val="Hyperlink"/>
                <w:bCs/>
                <w:noProof/>
                <w:lang w:val="es-419"/>
              </w:rPr>
              <w:t>Instituto Tecnológico de Santo Domingo (INTEC)</w:t>
            </w:r>
            <w:r w:rsidR="00F46CB4">
              <w:rPr>
                <w:noProof/>
                <w:webHidden/>
              </w:rPr>
              <w:tab/>
            </w:r>
            <w:r w:rsidR="00F46CB4">
              <w:rPr>
                <w:noProof/>
                <w:webHidden/>
              </w:rPr>
              <w:fldChar w:fldCharType="begin"/>
            </w:r>
            <w:r w:rsidR="00F46CB4">
              <w:rPr>
                <w:noProof/>
                <w:webHidden/>
              </w:rPr>
              <w:instrText xml:space="preserve"> PAGEREF _Toc77191086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08A73FD4" w14:textId="00DC8E96" w:rsidR="00F46CB4" w:rsidRDefault="00CA5582">
          <w:pPr>
            <w:pStyle w:val="TOC1"/>
            <w:tabs>
              <w:tab w:val="left" w:pos="440"/>
              <w:tab w:val="right" w:leader="dot" w:pos="9350"/>
            </w:tabs>
            <w:rPr>
              <w:rFonts w:eastAsiaTheme="minorEastAsia"/>
              <w:noProof/>
              <w:lang w:val="en-CA" w:eastAsia="en-CA"/>
            </w:rPr>
          </w:pPr>
          <w:hyperlink w:anchor="_Toc77191087" w:history="1">
            <w:r w:rsidR="00F46CB4" w:rsidRPr="00FD2912">
              <w:rPr>
                <w:rStyle w:val="Hyperlink"/>
                <w:bCs/>
                <w:noProof/>
              </w:rPr>
              <w:t>2.</w:t>
            </w:r>
            <w:r w:rsidR="00F46CB4">
              <w:rPr>
                <w:rFonts w:eastAsiaTheme="minorEastAsia"/>
                <w:noProof/>
                <w:lang w:val="en-CA" w:eastAsia="en-CA"/>
              </w:rPr>
              <w:tab/>
            </w:r>
            <w:r w:rsidR="00F46CB4" w:rsidRPr="00FD2912">
              <w:rPr>
                <w:rStyle w:val="Hyperlink"/>
                <w:rFonts w:cstheme="minorHAnsi"/>
                <w:noProof/>
              </w:rPr>
              <w:t>Project title</w:t>
            </w:r>
            <w:r w:rsidR="00F46CB4">
              <w:rPr>
                <w:noProof/>
                <w:webHidden/>
              </w:rPr>
              <w:tab/>
            </w:r>
            <w:r w:rsidR="00F46CB4">
              <w:rPr>
                <w:noProof/>
                <w:webHidden/>
              </w:rPr>
              <w:fldChar w:fldCharType="begin"/>
            </w:r>
            <w:r w:rsidR="00F46CB4">
              <w:rPr>
                <w:noProof/>
                <w:webHidden/>
              </w:rPr>
              <w:instrText xml:space="preserve"> PAGEREF _Toc77191087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134852A7" w14:textId="20A6756E" w:rsidR="00F46CB4" w:rsidRDefault="00CA5582">
          <w:pPr>
            <w:pStyle w:val="TOC1"/>
            <w:tabs>
              <w:tab w:val="left" w:pos="440"/>
              <w:tab w:val="right" w:leader="dot" w:pos="9350"/>
            </w:tabs>
            <w:rPr>
              <w:rFonts w:eastAsiaTheme="minorEastAsia"/>
              <w:noProof/>
              <w:lang w:val="en-CA" w:eastAsia="en-CA"/>
            </w:rPr>
          </w:pPr>
          <w:hyperlink w:anchor="_Toc77191088" w:history="1">
            <w:r w:rsidR="00F46CB4" w:rsidRPr="00FD2912">
              <w:rPr>
                <w:rStyle w:val="Hyperlink"/>
                <w:bCs/>
                <w:noProof/>
              </w:rPr>
              <w:t>3.</w:t>
            </w:r>
            <w:r w:rsidR="00F46CB4">
              <w:rPr>
                <w:rFonts w:eastAsiaTheme="minorEastAsia"/>
                <w:noProof/>
                <w:lang w:val="en-CA" w:eastAsia="en-CA"/>
              </w:rPr>
              <w:tab/>
            </w:r>
            <w:r w:rsidR="00F46CB4" w:rsidRPr="00FD2912">
              <w:rPr>
                <w:rStyle w:val="Hyperlink"/>
                <w:rFonts w:cstheme="minorHAnsi"/>
                <w:noProof/>
              </w:rPr>
              <w:t>Grant number</w:t>
            </w:r>
            <w:r w:rsidR="00F46CB4">
              <w:rPr>
                <w:noProof/>
                <w:webHidden/>
              </w:rPr>
              <w:tab/>
            </w:r>
            <w:r w:rsidR="00F46CB4">
              <w:rPr>
                <w:noProof/>
                <w:webHidden/>
              </w:rPr>
              <w:fldChar w:fldCharType="begin"/>
            </w:r>
            <w:r w:rsidR="00F46CB4">
              <w:rPr>
                <w:noProof/>
                <w:webHidden/>
              </w:rPr>
              <w:instrText xml:space="preserve"> PAGEREF _Toc77191088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589791B4" w14:textId="1C361541" w:rsidR="00F46CB4" w:rsidRDefault="00CA5582">
          <w:pPr>
            <w:pStyle w:val="TOC1"/>
            <w:tabs>
              <w:tab w:val="left" w:pos="440"/>
              <w:tab w:val="right" w:leader="dot" w:pos="9350"/>
            </w:tabs>
            <w:rPr>
              <w:rFonts w:eastAsiaTheme="minorEastAsia"/>
              <w:noProof/>
              <w:lang w:val="en-CA" w:eastAsia="en-CA"/>
            </w:rPr>
          </w:pPr>
          <w:hyperlink w:anchor="_Toc77191089" w:history="1">
            <w:r w:rsidR="00F46CB4" w:rsidRPr="00FD2912">
              <w:rPr>
                <w:rStyle w:val="Hyperlink"/>
                <w:bCs/>
                <w:noProof/>
              </w:rPr>
              <w:t>4.</w:t>
            </w:r>
            <w:r w:rsidR="00F46CB4">
              <w:rPr>
                <w:rFonts w:eastAsiaTheme="minorEastAsia"/>
                <w:noProof/>
                <w:lang w:val="en-CA" w:eastAsia="en-CA"/>
              </w:rPr>
              <w:tab/>
            </w:r>
            <w:r w:rsidR="00F46CB4" w:rsidRPr="00FD2912">
              <w:rPr>
                <w:rStyle w:val="Hyperlink"/>
                <w:rFonts w:cstheme="minorHAnsi"/>
                <w:noProof/>
              </w:rPr>
              <w:t>Grant amount (US dollars</w:t>
            </w:r>
            <w:r w:rsidR="00F46CB4">
              <w:rPr>
                <w:noProof/>
                <w:webHidden/>
              </w:rPr>
              <w:tab/>
            </w:r>
            <w:r w:rsidR="00F46CB4">
              <w:rPr>
                <w:noProof/>
                <w:webHidden/>
              </w:rPr>
              <w:fldChar w:fldCharType="begin"/>
            </w:r>
            <w:r w:rsidR="00F46CB4">
              <w:rPr>
                <w:noProof/>
                <w:webHidden/>
              </w:rPr>
              <w:instrText xml:space="preserve"> PAGEREF _Toc77191089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49BD99B4" w14:textId="075D8DCD" w:rsidR="00F46CB4" w:rsidRDefault="00CA5582">
          <w:pPr>
            <w:pStyle w:val="TOC1"/>
            <w:tabs>
              <w:tab w:val="left" w:pos="440"/>
              <w:tab w:val="right" w:leader="dot" w:pos="9350"/>
            </w:tabs>
            <w:rPr>
              <w:rFonts w:eastAsiaTheme="minorEastAsia"/>
              <w:noProof/>
              <w:lang w:val="en-CA" w:eastAsia="en-CA"/>
            </w:rPr>
          </w:pPr>
          <w:hyperlink w:anchor="_Toc77191090" w:history="1">
            <w:r w:rsidR="00F46CB4" w:rsidRPr="00FD2912">
              <w:rPr>
                <w:rStyle w:val="Hyperlink"/>
                <w:bCs/>
                <w:noProof/>
              </w:rPr>
              <w:t>5.</w:t>
            </w:r>
            <w:r w:rsidR="00F46CB4">
              <w:rPr>
                <w:rFonts w:eastAsiaTheme="minorEastAsia"/>
                <w:noProof/>
                <w:lang w:val="en-CA" w:eastAsia="en-CA"/>
              </w:rPr>
              <w:tab/>
            </w:r>
            <w:r w:rsidR="00F46CB4" w:rsidRPr="00FD2912">
              <w:rPr>
                <w:rStyle w:val="Hyperlink"/>
                <w:rFonts w:cstheme="minorHAnsi"/>
                <w:noProof/>
              </w:rPr>
              <w:t>Proposed dates of grant</w:t>
            </w:r>
            <w:r w:rsidR="00F46CB4">
              <w:rPr>
                <w:noProof/>
                <w:webHidden/>
              </w:rPr>
              <w:tab/>
            </w:r>
            <w:r w:rsidR="00F46CB4">
              <w:rPr>
                <w:noProof/>
                <w:webHidden/>
              </w:rPr>
              <w:fldChar w:fldCharType="begin"/>
            </w:r>
            <w:r w:rsidR="00F46CB4">
              <w:rPr>
                <w:noProof/>
                <w:webHidden/>
              </w:rPr>
              <w:instrText xml:space="preserve"> PAGEREF _Toc77191090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09BE7D23" w14:textId="786E6F8F" w:rsidR="00F46CB4" w:rsidRDefault="00CA5582">
          <w:pPr>
            <w:pStyle w:val="TOC1"/>
            <w:tabs>
              <w:tab w:val="left" w:pos="440"/>
              <w:tab w:val="right" w:leader="dot" w:pos="9350"/>
            </w:tabs>
            <w:rPr>
              <w:rFonts w:eastAsiaTheme="minorEastAsia"/>
              <w:noProof/>
              <w:lang w:val="en-CA" w:eastAsia="en-CA"/>
            </w:rPr>
          </w:pPr>
          <w:hyperlink w:anchor="_Toc77191091" w:history="1">
            <w:r w:rsidR="00F46CB4" w:rsidRPr="00FD2912">
              <w:rPr>
                <w:rStyle w:val="Hyperlink"/>
                <w:bCs/>
                <w:noProof/>
              </w:rPr>
              <w:t>6.</w:t>
            </w:r>
            <w:r w:rsidR="00F46CB4">
              <w:rPr>
                <w:rFonts w:eastAsiaTheme="minorEastAsia"/>
                <w:noProof/>
                <w:lang w:val="en-CA" w:eastAsia="en-CA"/>
              </w:rPr>
              <w:tab/>
            </w:r>
            <w:r w:rsidR="00F46CB4" w:rsidRPr="00FD2912">
              <w:rPr>
                <w:rStyle w:val="Hyperlink"/>
                <w:rFonts w:cstheme="minorHAnsi"/>
                <w:noProof/>
              </w:rPr>
              <w:t>Countries where activities will be undertaken</w:t>
            </w:r>
            <w:r w:rsidR="00F46CB4">
              <w:rPr>
                <w:noProof/>
                <w:webHidden/>
              </w:rPr>
              <w:tab/>
            </w:r>
            <w:r w:rsidR="00F46CB4">
              <w:rPr>
                <w:noProof/>
                <w:webHidden/>
              </w:rPr>
              <w:fldChar w:fldCharType="begin"/>
            </w:r>
            <w:r w:rsidR="00F46CB4">
              <w:rPr>
                <w:noProof/>
                <w:webHidden/>
              </w:rPr>
              <w:instrText xml:space="preserve"> PAGEREF _Toc77191091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6BD36D05" w14:textId="78A53CF4" w:rsidR="00F46CB4" w:rsidRDefault="00CA5582">
          <w:pPr>
            <w:pStyle w:val="TOC1"/>
            <w:tabs>
              <w:tab w:val="left" w:pos="440"/>
              <w:tab w:val="right" w:leader="dot" w:pos="9350"/>
            </w:tabs>
            <w:rPr>
              <w:rFonts w:eastAsiaTheme="minorEastAsia"/>
              <w:noProof/>
              <w:lang w:val="en-CA" w:eastAsia="en-CA"/>
            </w:rPr>
          </w:pPr>
          <w:hyperlink w:anchor="_Toc77191092" w:history="1">
            <w:r w:rsidR="00F46CB4" w:rsidRPr="00FD2912">
              <w:rPr>
                <w:rStyle w:val="Hyperlink"/>
                <w:bCs/>
                <w:noProof/>
              </w:rPr>
              <w:t>7.</w:t>
            </w:r>
            <w:r w:rsidR="00F46CB4">
              <w:rPr>
                <w:rFonts w:eastAsiaTheme="minorEastAsia"/>
                <w:noProof/>
                <w:lang w:val="en-CA" w:eastAsia="en-CA"/>
              </w:rPr>
              <w:tab/>
            </w:r>
            <w:r w:rsidR="00F46CB4" w:rsidRPr="00FD2912">
              <w:rPr>
                <w:rStyle w:val="Hyperlink"/>
                <w:rFonts w:cstheme="minorHAnsi"/>
                <w:noProof/>
              </w:rPr>
              <w:t>Date of preparation of this document</w:t>
            </w:r>
            <w:r w:rsidR="00F46CB4">
              <w:rPr>
                <w:noProof/>
                <w:webHidden/>
              </w:rPr>
              <w:tab/>
            </w:r>
            <w:r w:rsidR="00F46CB4">
              <w:rPr>
                <w:noProof/>
                <w:webHidden/>
              </w:rPr>
              <w:fldChar w:fldCharType="begin"/>
            </w:r>
            <w:r w:rsidR="00F46CB4">
              <w:rPr>
                <w:noProof/>
                <w:webHidden/>
              </w:rPr>
              <w:instrText xml:space="preserve"> PAGEREF _Toc77191092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290A59B2" w14:textId="4EE4E6D7" w:rsidR="00F46CB4" w:rsidRDefault="00CA5582">
          <w:pPr>
            <w:pStyle w:val="TOC1"/>
            <w:tabs>
              <w:tab w:val="left" w:pos="440"/>
              <w:tab w:val="right" w:leader="dot" w:pos="9350"/>
            </w:tabs>
            <w:rPr>
              <w:rFonts w:eastAsiaTheme="minorEastAsia"/>
              <w:noProof/>
              <w:lang w:val="en-CA" w:eastAsia="en-CA"/>
            </w:rPr>
          </w:pPr>
          <w:hyperlink w:anchor="_Toc77191093" w:history="1">
            <w:r w:rsidR="00F46CB4" w:rsidRPr="00FD2912">
              <w:rPr>
                <w:rStyle w:val="Hyperlink"/>
                <w:bCs/>
                <w:noProof/>
              </w:rPr>
              <w:t>8.</w:t>
            </w:r>
            <w:r w:rsidR="00F46CB4">
              <w:rPr>
                <w:rFonts w:eastAsiaTheme="minorEastAsia"/>
                <w:noProof/>
                <w:lang w:val="en-CA" w:eastAsia="en-CA"/>
              </w:rPr>
              <w:tab/>
            </w:r>
            <w:r w:rsidR="00F46CB4" w:rsidRPr="00FD2912">
              <w:rPr>
                <w:rStyle w:val="Hyperlink"/>
                <w:noProof/>
              </w:rPr>
              <w:t>Overview of Labor Use on the Project</w:t>
            </w:r>
            <w:r w:rsidR="00F46CB4">
              <w:rPr>
                <w:noProof/>
                <w:webHidden/>
              </w:rPr>
              <w:tab/>
            </w:r>
            <w:r w:rsidR="00F46CB4">
              <w:rPr>
                <w:noProof/>
                <w:webHidden/>
              </w:rPr>
              <w:fldChar w:fldCharType="begin"/>
            </w:r>
            <w:r w:rsidR="00F46CB4">
              <w:rPr>
                <w:noProof/>
                <w:webHidden/>
              </w:rPr>
              <w:instrText xml:space="preserve"> PAGEREF _Toc77191093 \h </w:instrText>
            </w:r>
            <w:r w:rsidR="00F46CB4">
              <w:rPr>
                <w:noProof/>
                <w:webHidden/>
              </w:rPr>
            </w:r>
            <w:r w:rsidR="00F46CB4">
              <w:rPr>
                <w:noProof/>
                <w:webHidden/>
              </w:rPr>
              <w:fldChar w:fldCharType="separate"/>
            </w:r>
            <w:r w:rsidR="006E31D9">
              <w:rPr>
                <w:noProof/>
                <w:webHidden/>
              </w:rPr>
              <w:t>4</w:t>
            </w:r>
            <w:r w:rsidR="00F46CB4">
              <w:rPr>
                <w:noProof/>
                <w:webHidden/>
              </w:rPr>
              <w:fldChar w:fldCharType="end"/>
            </w:r>
          </w:hyperlink>
        </w:p>
        <w:p w14:paraId="0D1FC554" w14:textId="32DC6CC3" w:rsidR="00F46CB4" w:rsidRDefault="00CA5582">
          <w:pPr>
            <w:pStyle w:val="TOC2"/>
            <w:tabs>
              <w:tab w:val="right" w:leader="dot" w:pos="9350"/>
            </w:tabs>
            <w:rPr>
              <w:rFonts w:eastAsiaTheme="minorEastAsia"/>
              <w:noProof/>
              <w:lang w:val="en-CA" w:eastAsia="en-CA"/>
            </w:rPr>
          </w:pPr>
          <w:hyperlink w:anchor="_Toc77191094" w:history="1">
            <w:r w:rsidR="00F46CB4" w:rsidRPr="00FD2912">
              <w:rPr>
                <w:rStyle w:val="Hyperlink"/>
                <w:iCs/>
                <w:noProof/>
              </w:rPr>
              <w:t>8.1 Direct Project Workers</w:t>
            </w:r>
            <w:r w:rsidR="00F46CB4">
              <w:rPr>
                <w:noProof/>
                <w:webHidden/>
              </w:rPr>
              <w:tab/>
            </w:r>
            <w:r w:rsidR="00F46CB4">
              <w:rPr>
                <w:noProof/>
                <w:webHidden/>
              </w:rPr>
              <w:fldChar w:fldCharType="begin"/>
            </w:r>
            <w:r w:rsidR="00F46CB4">
              <w:rPr>
                <w:noProof/>
                <w:webHidden/>
              </w:rPr>
              <w:instrText xml:space="preserve"> PAGEREF _Toc77191094 \h </w:instrText>
            </w:r>
            <w:r w:rsidR="00F46CB4">
              <w:rPr>
                <w:noProof/>
                <w:webHidden/>
              </w:rPr>
            </w:r>
            <w:r w:rsidR="00F46CB4">
              <w:rPr>
                <w:noProof/>
                <w:webHidden/>
              </w:rPr>
              <w:fldChar w:fldCharType="separate"/>
            </w:r>
            <w:r w:rsidR="006E31D9">
              <w:rPr>
                <w:noProof/>
                <w:webHidden/>
              </w:rPr>
              <w:t>5</w:t>
            </w:r>
            <w:r w:rsidR="00F46CB4">
              <w:rPr>
                <w:noProof/>
                <w:webHidden/>
              </w:rPr>
              <w:fldChar w:fldCharType="end"/>
            </w:r>
          </w:hyperlink>
        </w:p>
        <w:p w14:paraId="16E1DBD2" w14:textId="75728BB1" w:rsidR="00F46CB4" w:rsidRDefault="00CA5582">
          <w:pPr>
            <w:pStyle w:val="TOC1"/>
            <w:tabs>
              <w:tab w:val="right" w:leader="dot" w:pos="9350"/>
            </w:tabs>
            <w:rPr>
              <w:rFonts w:eastAsiaTheme="minorEastAsia"/>
              <w:noProof/>
              <w:lang w:val="en-CA" w:eastAsia="en-CA"/>
            </w:rPr>
          </w:pPr>
          <w:hyperlink w:anchor="_Toc77191095" w:history="1">
            <w:r w:rsidR="00F46CB4" w:rsidRPr="00FD2912">
              <w:rPr>
                <w:rStyle w:val="Hyperlink"/>
                <w:noProof/>
              </w:rPr>
              <w:t>Table 8.1: Direct workers</w:t>
            </w:r>
            <w:r w:rsidR="00F46CB4">
              <w:rPr>
                <w:noProof/>
                <w:webHidden/>
              </w:rPr>
              <w:tab/>
            </w:r>
            <w:r w:rsidR="00F46CB4">
              <w:rPr>
                <w:noProof/>
                <w:webHidden/>
              </w:rPr>
              <w:fldChar w:fldCharType="begin"/>
            </w:r>
            <w:r w:rsidR="00F46CB4">
              <w:rPr>
                <w:noProof/>
                <w:webHidden/>
              </w:rPr>
              <w:instrText xml:space="preserve"> PAGEREF _Toc77191095 \h </w:instrText>
            </w:r>
            <w:r w:rsidR="00F46CB4">
              <w:rPr>
                <w:noProof/>
                <w:webHidden/>
              </w:rPr>
            </w:r>
            <w:r w:rsidR="00F46CB4">
              <w:rPr>
                <w:noProof/>
                <w:webHidden/>
              </w:rPr>
              <w:fldChar w:fldCharType="separate"/>
            </w:r>
            <w:r w:rsidR="006E31D9">
              <w:rPr>
                <w:noProof/>
                <w:webHidden/>
              </w:rPr>
              <w:t>5</w:t>
            </w:r>
            <w:r w:rsidR="00F46CB4">
              <w:rPr>
                <w:noProof/>
                <w:webHidden/>
              </w:rPr>
              <w:fldChar w:fldCharType="end"/>
            </w:r>
          </w:hyperlink>
        </w:p>
        <w:p w14:paraId="71BAB285" w14:textId="52A8FAB7" w:rsidR="00F46CB4" w:rsidRDefault="00CA5582">
          <w:pPr>
            <w:pStyle w:val="TOC2"/>
            <w:tabs>
              <w:tab w:val="left" w:pos="880"/>
              <w:tab w:val="right" w:leader="dot" w:pos="9350"/>
            </w:tabs>
            <w:rPr>
              <w:rFonts w:eastAsiaTheme="minorEastAsia"/>
              <w:noProof/>
              <w:lang w:val="en-CA" w:eastAsia="en-CA"/>
            </w:rPr>
          </w:pPr>
          <w:hyperlink w:anchor="_Toc77191096" w:history="1">
            <w:r w:rsidR="00F46CB4" w:rsidRPr="00FD2912">
              <w:rPr>
                <w:rStyle w:val="Hyperlink"/>
                <w:noProof/>
              </w:rPr>
              <w:t>8.3.</w:t>
            </w:r>
            <w:r w:rsidR="00F46CB4">
              <w:rPr>
                <w:rFonts w:eastAsiaTheme="minorEastAsia"/>
                <w:noProof/>
                <w:lang w:val="en-CA" w:eastAsia="en-CA"/>
              </w:rPr>
              <w:tab/>
            </w:r>
            <w:r w:rsidR="00F46CB4" w:rsidRPr="00FD2912">
              <w:rPr>
                <w:rStyle w:val="Hyperlink"/>
                <w:iCs/>
                <w:noProof/>
              </w:rPr>
              <w:t>Community Workers</w:t>
            </w:r>
            <w:r w:rsidR="00F46CB4">
              <w:rPr>
                <w:noProof/>
                <w:webHidden/>
              </w:rPr>
              <w:tab/>
            </w:r>
            <w:r w:rsidR="00F46CB4">
              <w:rPr>
                <w:noProof/>
                <w:webHidden/>
              </w:rPr>
              <w:fldChar w:fldCharType="begin"/>
            </w:r>
            <w:r w:rsidR="00F46CB4">
              <w:rPr>
                <w:noProof/>
                <w:webHidden/>
              </w:rPr>
              <w:instrText xml:space="preserve"> PAGEREF _Toc77191096 \h </w:instrText>
            </w:r>
            <w:r w:rsidR="00F46CB4">
              <w:rPr>
                <w:noProof/>
                <w:webHidden/>
              </w:rPr>
            </w:r>
            <w:r w:rsidR="00F46CB4">
              <w:rPr>
                <w:noProof/>
                <w:webHidden/>
              </w:rPr>
              <w:fldChar w:fldCharType="separate"/>
            </w:r>
            <w:r w:rsidR="006E31D9">
              <w:rPr>
                <w:noProof/>
                <w:webHidden/>
              </w:rPr>
              <w:t>6</w:t>
            </w:r>
            <w:r w:rsidR="00F46CB4">
              <w:rPr>
                <w:noProof/>
                <w:webHidden/>
              </w:rPr>
              <w:fldChar w:fldCharType="end"/>
            </w:r>
          </w:hyperlink>
        </w:p>
        <w:p w14:paraId="225F911A" w14:textId="1EEA0425" w:rsidR="00F46CB4" w:rsidRDefault="00CA5582">
          <w:pPr>
            <w:pStyle w:val="TOC1"/>
            <w:tabs>
              <w:tab w:val="right" w:leader="dot" w:pos="9350"/>
            </w:tabs>
            <w:rPr>
              <w:rFonts w:eastAsiaTheme="minorEastAsia"/>
              <w:noProof/>
              <w:lang w:val="en-CA" w:eastAsia="en-CA"/>
            </w:rPr>
          </w:pPr>
          <w:hyperlink w:anchor="_Toc77191097" w:history="1">
            <w:r w:rsidR="00F46CB4" w:rsidRPr="00FD2912">
              <w:rPr>
                <w:rStyle w:val="Hyperlink"/>
                <w:noProof/>
              </w:rPr>
              <w:t>8.4. Migrant Workers</w:t>
            </w:r>
            <w:r w:rsidR="00F46CB4">
              <w:rPr>
                <w:noProof/>
                <w:webHidden/>
              </w:rPr>
              <w:tab/>
            </w:r>
            <w:r w:rsidR="00F46CB4">
              <w:rPr>
                <w:noProof/>
                <w:webHidden/>
              </w:rPr>
              <w:fldChar w:fldCharType="begin"/>
            </w:r>
            <w:r w:rsidR="00F46CB4">
              <w:rPr>
                <w:noProof/>
                <w:webHidden/>
              </w:rPr>
              <w:instrText xml:space="preserve"> PAGEREF _Toc77191097 \h </w:instrText>
            </w:r>
            <w:r w:rsidR="00F46CB4">
              <w:rPr>
                <w:noProof/>
                <w:webHidden/>
              </w:rPr>
            </w:r>
            <w:r w:rsidR="00F46CB4">
              <w:rPr>
                <w:noProof/>
                <w:webHidden/>
              </w:rPr>
              <w:fldChar w:fldCharType="separate"/>
            </w:r>
            <w:r w:rsidR="006E31D9">
              <w:rPr>
                <w:noProof/>
                <w:webHidden/>
              </w:rPr>
              <w:t>6</w:t>
            </w:r>
            <w:r w:rsidR="00F46CB4">
              <w:rPr>
                <w:noProof/>
                <w:webHidden/>
              </w:rPr>
              <w:fldChar w:fldCharType="end"/>
            </w:r>
          </w:hyperlink>
        </w:p>
        <w:p w14:paraId="474E64CB" w14:textId="31925B0C" w:rsidR="00F46CB4" w:rsidRDefault="00CA5582">
          <w:pPr>
            <w:pStyle w:val="TOC1"/>
            <w:tabs>
              <w:tab w:val="left" w:pos="660"/>
              <w:tab w:val="right" w:leader="dot" w:pos="9350"/>
            </w:tabs>
            <w:rPr>
              <w:rFonts w:eastAsiaTheme="minorEastAsia"/>
              <w:noProof/>
              <w:lang w:val="en-CA" w:eastAsia="en-CA"/>
            </w:rPr>
          </w:pPr>
          <w:hyperlink w:anchor="_Toc77191098" w:history="1">
            <w:r w:rsidR="00F46CB4" w:rsidRPr="00FD2912">
              <w:rPr>
                <w:rStyle w:val="Hyperlink"/>
                <w:noProof/>
              </w:rPr>
              <w:t>8.5</w:t>
            </w:r>
            <w:r w:rsidR="00F46CB4">
              <w:rPr>
                <w:rFonts w:eastAsiaTheme="minorEastAsia"/>
                <w:noProof/>
                <w:lang w:val="en-CA" w:eastAsia="en-CA"/>
              </w:rPr>
              <w:tab/>
            </w:r>
            <w:r w:rsidR="00F46CB4" w:rsidRPr="00FD2912">
              <w:rPr>
                <w:rStyle w:val="Hyperlink"/>
                <w:noProof/>
              </w:rPr>
              <w:t>Characteristics of Project Workers</w:t>
            </w:r>
            <w:r w:rsidR="00F46CB4">
              <w:rPr>
                <w:noProof/>
                <w:webHidden/>
              </w:rPr>
              <w:tab/>
            </w:r>
            <w:r w:rsidR="00F46CB4">
              <w:rPr>
                <w:noProof/>
                <w:webHidden/>
              </w:rPr>
              <w:fldChar w:fldCharType="begin"/>
            </w:r>
            <w:r w:rsidR="00F46CB4">
              <w:rPr>
                <w:noProof/>
                <w:webHidden/>
              </w:rPr>
              <w:instrText xml:space="preserve"> PAGEREF _Toc77191098 \h </w:instrText>
            </w:r>
            <w:r w:rsidR="00F46CB4">
              <w:rPr>
                <w:noProof/>
                <w:webHidden/>
              </w:rPr>
            </w:r>
            <w:r w:rsidR="00F46CB4">
              <w:rPr>
                <w:noProof/>
                <w:webHidden/>
              </w:rPr>
              <w:fldChar w:fldCharType="separate"/>
            </w:r>
            <w:r w:rsidR="006E31D9">
              <w:rPr>
                <w:noProof/>
                <w:webHidden/>
              </w:rPr>
              <w:t>6</w:t>
            </w:r>
            <w:r w:rsidR="00F46CB4">
              <w:rPr>
                <w:noProof/>
                <w:webHidden/>
              </w:rPr>
              <w:fldChar w:fldCharType="end"/>
            </w:r>
          </w:hyperlink>
        </w:p>
        <w:p w14:paraId="257D8B20" w14:textId="771DF9FC" w:rsidR="00F46CB4" w:rsidRDefault="00CA5582">
          <w:pPr>
            <w:pStyle w:val="TOC2"/>
            <w:tabs>
              <w:tab w:val="right" w:leader="dot" w:pos="9350"/>
            </w:tabs>
            <w:rPr>
              <w:rFonts w:eastAsiaTheme="minorEastAsia"/>
              <w:noProof/>
              <w:lang w:val="en-CA" w:eastAsia="en-CA"/>
            </w:rPr>
          </w:pPr>
          <w:hyperlink w:anchor="_Toc77191099" w:history="1">
            <w:r w:rsidR="00F46CB4" w:rsidRPr="00FD2912">
              <w:rPr>
                <w:rStyle w:val="Hyperlink"/>
                <w:iCs/>
                <w:noProof/>
              </w:rPr>
              <w:t>8.6. Timing of Labor Requirements</w:t>
            </w:r>
            <w:r w:rsidR="00F46CB4">
              <w:rPr>
                <w:noProof/>
                <w:webHidden/>
              </w:rPr>
              <w:tab/>
            </w:r>
            <w:r w:rsidR="00F46CB4">
              <w:rPr>
                <w:noProof/>
                <w:webHidden/>
              </w:rPr>
              <w:fldChar w:fldCharType="begin"/>
            </w:r>
            <w:r w:rsidR="00F46CB4">
              <w:rPr>
                <w:noProof/>
                <w:webHidden/>
              </w:rPr>
              <w:instrText xml:space="preserve"> PAGEREF _Toc77191099 \h </w:instrText>
            </w:r>
            <w:r w:rsidR="00F46CB4">
              <w:rPr>
                <w:noProof/>
                <w:webHidden/>
              </w:rPr>
            </w:r>
            <w:r w:rsidR="00F46CB4">
              <w:rPr>
                <w:noProof/>
                <w:webHidden/>
              </w:rPr>
              <w:fldChar w:fldCharType="separate"/>
            </w:r>
            <w:r w:rsidR="006E31D9">
              <w:rPr>
                <w:noProof/>
                <w:webHidden/>
              </w:rPr>
              <w:t>6</w:t>
            </w:r>
            <w:r w:rsidR="00F46CB4">
              <w:rPr>
                <w:noProof/>
                <w:webHidden/>
              </w:rPr>
              <w:fldChar w:fldCharType="end"/>
            </w:r>
          </w:hyperlink>
        </w:p>
        <w:p w14:paraId="5C4F1A1F" w14:textId="7340570D" w:rsidR="00F46CB4" w:rsidRDefault="00CA5582">
          <w:pPr>
            <w:pStyle w:val="TOC1"/>
            <w:tabs>
              <w:tab w:val="left" w:pos="440"/>
              <w:tab w:val="right" w:leader="dot" w:pos="9350"/>
            </w:tabs>
            <w:rPr>
              <w:rFonts w:eastAsiaTheme="minorEastAsia"/>
              <w:noProof/>
              <w:lang w:val="en-CA" w:eastAsia="en-CA"/>
            </w:rPr>
          </w:pPr>
          <w:hyperlink w:anchor="_Toc77191100" w:history="1">
            <w:r w:rsidR="00F46CB4" w:rsidRPr="00FD2912">
              <w:rPr>
                <w:rStyle w:val="Hyperlink"/>
                <w:bCs/>
                <w:noProof/>
              </w:rPr>
              <w:t>9.</w:t>
            </w:r>
            <w:r w:rsidR="00F46CB4">
              <w:rPr>
                <w:rFonts w:eastAsiaTheme="minorEastAsia"/>
                <w:noProof/>
                <w:lang w:val="en-CA" w:eastAsia="en-CA"/>
              </w:rPr>
              <w:tab/>
            </w:r>
            <w:r w:rsidR="00F46CB4" w:rsidRPr="00FD2912">
              <w:rPr>
                <w:rStyle w:val="Hyperlink"/>
                <w:noProof/>
              </w:rPr>
              <w:t>Assessment of Key Potential Labor Risks</w:t>
            </w:r>
            <w:r w:rsidR="00F46CB4">
              <w:rPr>
                <w:noProof/>
                <w:webHidden/>
              </w:rPr>
              <w:tab/>
            </w:r>
            <w:r w:rsidR="00F46CB4">
              <w:rPr>
                <w:noProof/>
                <w:webHidden/>
              </w:rPr>
              <w:fldChar w:fldCharType="begin"/>
            </w:r>
            <w:r w:rsidR="00F46CB4">
              <w:rPr>
                <w:noProof/>
                <w:webHidden/>
              </w:rPr>
              <w:instrText xml:space="preserve"> PAGEREF _Toc77191100 \h </w:instrText>
            </w:r>
            <w:r w:rsidR="00F46CB4">
              <w:rPr>
                <w:noProof/>
                <w:webHidden/>
              </w:rPr>
            </w:r>
            <w:r w:rsidR="00F46CB4">
              <w:rPr>
                <w:noProof/>
                <w:webHidden/>
              </w:rPr>
              <w:fldChar w:fldCharType="separate"/>
            </w:r>
            <w:r w:rsidR="006E31D9">
              <w:rPr>
                <w:noProof/>
                <w:webHidden/>
              </w:rPr>
              <w:t>6</w:t>
            </w:r>
            <w:r w:rsidR="00F46CB4">
              <w:rPr>
                <w:noProof/>
                <w:webHidden/>
              </w:rPr>
              <w:fldChar w:fldCharType="end"/>
            </w:r>
          </w:hyperlink>
        </w:p>
        <w:p w14:paraId="61AA0CBF" w14:textId="0A69DB8A" w:rsidR="00F46CB4" w:rsidRDefault="00CA5582">
          <w:pPr>
            <w:pStyle w:val="TOC1"/>
            <w:tabs>
              <w:tab w:val="left" w:pos="660"/>
              <w:tab w:val="right" w:leader="dot" w:pos="9350"/>
            </w:tabs>
            <w:rPr>
              <w:rFonts w:eastAsiaTheme="minorEastAsia"/>
              <w:noProof/>
              <w:lang w:val="en-CA" w:eastAsia="en-CA"/>
            </w:rPr>
          </w:pPr>
          <w:hyperlink w:anchor="_Toc77191101" w:history="1">
            <w:r w:rsidR="00F46CB4" w:rsidRPr="00FD2912">
              <w:rPr>
                <w:rStyle w:val="Hyperlink"/>
                <w:bCs/>
                <w:noProof/>
              </w:rPr>
              <w:t>10.</w:t>
            </w:r>
            <w:r w:rsidR="00F46CB4">
              <w:rPr>
                <w:rFonts w:eastAsiaTheme="minorEastAsia"/>
                <w:noProof/>
                <w:lang w:val="en-CA" w:eastAsia="en-CA"/>
              </w:rPr>
              <w:tab/>
            </w:r>
            <w:r w:rsidR="00F46CB4" w:rsidRPr="00FD2912">
              <w:rPr>
                <w:rStyle w:val="Hyperlink"/>
                <w:noProof/>
              </w:rPr>
              <w:t>Risk mitigation measures</w:t>
            </w:r>
            <w:r w:rsidR="00F46CB4">
              <w:rPr>
                <w:noProof/>
                <w:webHidden/>
              </w:rPr>
              <w:tab/>
            </w:r>
            <w:r w:rsidR="00F46CB4">
              <w:rPr>
                <w:noProof/>
                <w:webHidden/>
              </w:rPr>
              <w:fldChar w:fldCharType="begin"/>
            </w:r>
            <w:r w:rsidR="00F46CB4">
              <w:rPr>
                <w:noProof/>
                <w:webHidden/>
              </w:rPr>
              <w:instrText xml:space="preserve"> PAGEREF _Toc77191101 \h </w:instrText>
            </w:r>
            <w:r w:rsidR="00F46CB4">
              <w:rPr>
                <w:noProof/>
                <w:webHidden/>
              </w:rPr>
            </w:r>
            <w:r w:rsidR="00F46CB4">
              <w:rPr>
                <w:noProof/>
                <w:webHidden/>
              </w:rPr>
              <w:fldChar w:fldCharType="separate"/>
            </w:r>
            <w:r w:rsidR="006E31D9">
              <w:rPr>
                <w:noProof/>
                <w:webHidden/>
              </w:rPr>
              <w:t>7</w:t>
            </w:r>
            <w:r w:rsidR="00F46CB4">
              <w:rPr>
                <w:noProof/>
                <w:webHidden/>
              </w:rPr>
              <w:fldChar w:fldCharType="end"/>
            </w:r>
          </w:hyperlink>
        </w:p>
        <w:p w14:paraId="53B7F465" w14:textId="25D4E70F" w:rsidR="00F46CB4" w:rsidRDefault="00CA5582">
          <w:pPr>
            <w:pStyle w:val="TOC2"/>
            <w:tabs>
              <w:tab w:val="right" w:leader="dot" w:pos="9350"/>
            </w:tabs>
            <w:rPr>
              <w:rFonts w:eastAsiaTheme="minorEastAsia"/>
              <w:noProof/>
              <w:lang w:val="en-CA" w:eastAsia="en-CA"/>
            </w:rPr>
          </w:pPr>
          <w:hyperlink w:anchor="_Toc77191102" w:history="1">
            <w:r w:rsidR="00F46CB4" w:rsidRPr="00FD2912">
              <w:rPr>
                <w:rStyle w:val="Hyperlink"/>
                <w:noProof/>
              </w:rPr>
              <w:t>Table 10.0: Potential Labor Risks and Mitigation Measures</w:t>
            </w:r>
            <w:r w:rsidR="00F46CB4">
              <w:rPr>
                <w:noProof/>
                <w:webHidden/>
              </w:rPr>
              <w:tab/>
            </w:r>
            <w:r w:rsidR="00F46CB4">
              <w:rPr>
                <w:noProof/>
                <w:webHidden/>
              </w:rPr>
              <w:fldChar w:fldCharType="begin"/>
            </w:r>
            <w:r w:rsidR="00F46CB4">
              <w:rPr>
                <w:noProof/>
                <w:webHidden/>
              </w:rPr>
              <w:instrText xml:space="preserve"> PAGEREF _Toc77191102 \h </w:instrText>
            </w:r>
            <w:r w:rsidR="00F46CB4">
              <w:rPr>
                <w:noProof/>
                <w:webHidden/>
              </w:rPr>
            </w:r>
            <w:r w:rsidR="00F46CB4">
              <w:rPr>
                <w:noProof/>
                <w:webHidden/>
              </w:rPr>
              <w:fldChar w:fldCharType="separate"/>
            </w:r>
            <w:r w:rsidR="006E31D9">
              <w:rPr>
                <w:noProof/>
                <w:webHidden/>
              </w:rPr>
              <w:t>9</w:t>
            </w:r>
            <w:r w:rsidR="00F46CB4">
              <w:rPr>
                <w:noProof/>
                <w:webHidden/>
              </w:rPr>
              <w:fldChar w:fldCharType="end"/>
            </w:r>
          </w:hyperlink>
        </w:p>
        <w:p w14:paraId="5327ADF1" w14:textId="6518E96E" w:rsidR="00F46CB4" w:rsidRDefault="00CA5582">
          <w:pPr>
            <w:pStyle w:val="TOC1"/>
            <w:tabs>
              <w:tab w:val="left" w:pos="660"/>
              <w:tab w:val="right" w:leader="dot" w:pos="9350"/>
            </w:tabs>
            <w:rPr>
              <w:rFonts w:eastAsiaTheme="minorEastAsia"/>
              <w:noProof/>
              <w:lang w:val="en-CA" w:eastAsia="en-CA"/>
            </w:rPr>
          </w:pPr>
          <w:hyperlink w:anchor="_Toc77191103" w:history="1">
            <w:r w:rsidR="00F46CB4" w:rsidRPr="00FD2912">
              <w:rPr>
                <w:rStyle w:val="Hyperlink"/>
                <w:bCs/>
                <w:noProof/>
              </w:rPr>
              <w:t>11.</w:t>
            </w:r>
            <w:r w:rsidR="00F46CB4">
              <w:rPr>
                <w:rFonts w:eastAsiaTheme="minorEastAsia"/>
                <w:noProof/>
                <w:lang w:val="en-CA" w:eastAsia="en-CA"/>
              </w:rPr>
              <w:tab/>
            </w:r>
            <w:r w:rsidR="00F46CB4" w:rsidRPr="00FD2912">
              <w:rPr>
                <w:rStyle w:val="Hyperlink"/>
                <w:noProof/>
              </w:rPr>
              <w:t>Brief overview of legislation: terms and conditions</w:t>
            </w:r>
            <w:r w:rsidR="00F46CB4">
              <w:rPr>
                <w:noProof/>
                <w:webHidden/>
              </w:rPr>
              <w:tab/>
            </w:r>
            <w:r w:rsidR="00F46CB4">
              <w:rPr>
                <w:noProof/>
                <w:webHidden/>
              </w:rPr>
              <w:fldChar w:fldCharType="begin"/>
            </w:r>
            <w:r w:rsidR="00F46CB4">
              <w:rPr>
                <w:noProof/>
                <w:webHidden/>
              </w:rPr>
              <w:instrText xml:space="preserve"> PAGEREF _Toc77191103 \h </w:instrText>
            </w:r>
            <w:r w:rsidR="00F46CB4">
              <w:rPr>
                <w:noProof/>
                <w:webHidden/>
              </w:rPr>
            </w:r>
            <w:r w:rsidR="00F46CB4">
              <w:rPr>
                <w:noProof/>
                <w:webHidden/>
              </w:rPr>
              <w:fldChar w:fldCharType="separate"/>
            </w:r>
            <w:r w:rsidR="006E31D9">
              <w:rPr>
                <w:noProof/>
                <w:webHidden/>
              </w:rPr>
              <w:t>11</w:t>
            </w:r>
            <w:r w:rsidR="00F46CB4">
              <w:rPr>
                <w:noProof/>
                <w:webHidden/>
              </w:rPr>
              <w:fldChar w:fldCharType="end"/>
            </w:r>
          </w:hyperlink>
        </w:p>
        <w:p w14:paraId="3448DBEE" w14:textId="6C8C4A8E" w:rsidR="00F46CB4" w:rsidRDefault="00CA5582">
          <w:pPr>
            <w:pStyle w:val="TOC2"/>
            <w:tabs>
              <w:tab w:val="right" w:leader="dot" w:pos="9350"/>
            </w:tabs>
            <w:rPr>
              <w:rFonts w:eastAsiaTheme="minorEastAsia"/>
              <w:noProof/>
              <w:lang w:val="en-CA" w:eastAsia="en-CA"/>
            </w:rPr>
          </w:pPr>
          <w:hyperlink w:anchor="_Toc77191104" w:history="1">
            <w:r w:rsidR="00F46CB4" w:rsidRPr="00FD2912">
              <w:rPr>
                <w:rStyle w:val="Hyperlink"/>
                <w:noProof/>
              </w:rPr>
              <w:t>Table 11.0: National labor legislation relevant to ESS2 in project countries</w:t>
            </w:r>
            <w:r w:rsidR="00F46CB4">
              <w:rPr>
                <w:noProof/>
                <w:webHidden/>
              </w:rPr>
              <w:tab/>
            </w:r>
            <w:r w:rsidR="00F46CB4">
              <w:rPr>
                <w:noProof/>
                <w:webHidden/>
              </w:rPr>
              <w:fldChar w:fldCharType="begin"/>
            </w:r>
            <w:r w:rsidR="00F46CB4">
              <w:rPr>
                <w:noProof/>
                <w:webHidden/>
              </w:rPr>
              <w:instrText xml:space="preserve"> PAGEREF _Toc77191104 \h </w:instrText>
            </w:r>
            <w:r w:rsidR="00F46CB4">
              <w:rPr>
                <w:noProof/>
                <w:webHidden/>
              </w:rPr>
            </w:r>
            <w:r w:rsidR="00F46CB4">
              <w:rPr>
                <w:noProof/>
                <w:webHidden/>
              </w:rPr>
              <w:fldChar w:fldCharType="separate"/>
            </w:r>
            <w:r w:rsidR="006E31D9">
              <w:rPr>
                <w:noProof/>
                <w:webHidden/>
              </w:rPr>
              <w:t>12</w:t>
            </w:r>
            <w:r w:rsidR="00F46CB4">
              <w:rPr>
                <w:noProof/>
                <w:webHidden/>
              </w:rPr>
              <w:fldChar w:fldCharType="end"/>
            </w:r>
          </w:hyperlink>
        </w:p>
        <w:p w14:paraId="6A2A0A15" w14:textId="0C5EE542" w:rsidR="00F46CB4" w:rsidRDefault="00CA5582">
          <w:pPr>
            <w:pStyle w:val="TOC1"/>
            <w:tabs>
              <w:tab w:val="left" w:pos="660"/>
              <w:tab w:val="right" w:leader="dot" w:pos="9350"/>
            </w:tabs>
            <w:rPr>
              <w:rFonts w:eastAsiaTheme="minorEastAsia"/>
              <w:noProof/>
              <w:lang w:val="en-CA" w:eastAsia="en-CA"/>
            </w:rPr>
          </w:pPr>
          <w:hyperlink w:anchor="_Toc77191105" w:history="1">
            <w:r w:rsidR="00F46CB4" w:rsidRPr="00FD2912">
              <w:rPr>
                <w:rStyle w:val="Hyperlink"/>
                <w:bCs/>
                <w:noProof/>
              </w:rPr>
              <w:t>12.</w:t>
            </w:r>
            <w:r w:rsidR="00F46CB4">
              <w:rPr>
                <w:rFonts w:eastAsiaTheme="minorEastAsia"/>
                <w:noProof/>
                <w:lang w:val="en-CA" w:eastAsia="en-CA"/>
              </w:rPr>
              <w:tab/>
            </w:r>
            <w:r w:rsidR="00F46CB4" w:rsidRPr="00FD2912">
              <w:rPr>
                <w:rStyle w:val="Hyperlink"/>
                <w:noProof/>
              </w:rPr>
              <w:t>Brief overview of legislation: occupational health and safety</w:t>
            </w:r>
            <w:r w:rsidR="00F46CB4">
              <w:rPr>
                <w:noProof/>
                <w:webHidden/>
              </w:rPr>
              <w:tab/>
            </w:r>
            <w:r w:rsidR="00F46CB4">
              <w:rPr>
                <w:noProof/>
                <w:webHidden/>
              </w:rPr>
              <w:fldChar w:fldCharType="begin"/>
            </w:r>
            <w:r w:rsidR="00F46CB4">
              <w:rPr>
                <w:noProof/>
                <w:webHidden/>
              </w:rPr>
              <w:instrText xml:space="preserve"> PAGEREF _Toc77191105 \h </w:instrText>
            </w:r>
            <w:r w:rsidR="00F46CB4">
              <w:rPr>
                <w:noProof/>
                <w:webHidden/>
              </w:rPr>
            </w:r>
            <w:r w:rsidR="00F46CB4">
              <w:rPr>
                <w:noProof/>
                <w:webHidden/>
              </w:rPr>
              <w:fldChar w:fldCharType="separate"/>
            </w:r>
            <w:r w:rsidR="006E31D9">
              <w:rPr>
                <w:noProof/>
                <w:webHidden/>
              </w:rPr>
              <w:t>13</w:t>
            </w:r>
            <w:r w:rsidR="00F46CB4">
              <w:rPr>
                <w:noProof/>
                <w:webHidden/>
              </w:rPr>
              <w:fldChar w:fldCharType="end"/>
            </w:r>
          </w:hyperlink>
        </w:p>
        <w:p w14:paraId="69D1B28D" w14:textId="6F35A5F4" w:rsidR="00F46CB4" w:rsidRDefault="00CA5582">
          <w:pPr>
            <w:pStyle w:val="TOC2"/>
            <w:tabs>
              <w:tab w:val="right" w:leader="dot" w:pos="9350"/>
            </w:tabs>
            <w:rPr>
              <w:rFonts w:eastAsiaTheme="minorEastAsia"/>
              <w:noProof/>
              <w:lang w:val="en-CA" w:eastAsia="en-CA"/>
            </w:rPr>
          </w:pPr>
          <w:hyperlink w:anchor="_Toc77191106" w:history="1">
            <w:r w:rsidR="00F46CB4" w:rsidRPr="00FD2912">
              <w:rPr>
                <w:rStyle w:val="Hyperlink"/>
                <w:noProof/>
              </w:rPr>
              <w:t>Table 12.0: National legislation relevant to occupational health and safety in project countries</w:t>
            </w:r>
            <w:r w:rsidR="00F46CB4">
              <w:rPr>
                <w:noProof/>
                <w:webHidden/>
              </w:rPr>
              <w:tab/>
            </w:r>
            <w:r w:rsidR="00F46CB4">
              <w:rPr>
                <w:noProof/>
                <w:webHidden/>
              </w:rPr>
              <w:fldChar w:fldCharType="begin"/>
            </w:r>
            <w:r w:rsidR="00F46CB4">
              <w:rPr>
                <w:noProof/>
                <w:webHidden/>
              </w:rPr>
              <w:instrText xml:space="preserve"> PAGEREF _Toc77191106 \h </w:instrText>
            </w:r>
            <w:r w:rsidR="00F46CB4">
              <w:rPr>
                <w:noProof/>
                <w:webHidden/>
              </w:rPr>
            </w:r>
            <w:r w:rsidR="00F46CB4">
              <w:rPr>
                <w:noProof/>
                <w:webHidden/>
              </w:rPr>
              <w:fldChar w:fldCharType="separate"/>
            </w:r>
            <w:r w:rsidR="006E31D9">
              <w:rPr>
                <w:noProof/>
                <w:webHidden/>
              </w:rPr>
              <w:t>13</w:t>
            </w:r>
            <w:r w:rsidR="00F46CB4">
              <w:rPr>
                <w:noProof/>
                <w:webHidden/>
              </w:rPr>
              <w:fldChar w:fldCharType="end"/>
            </w:r>
          </w:hyperlink>
        </w:p>
        <w:p w14:paraId="2CBBACC8" w14:textId="5D89B848" w:rsidR="00F46CB4" w:rsidRDefault="00CA5582">
          <w:pPr>
            <w:pStyle w:val="TOC1"/>
            <w:tabs>
              <w:tab w:val="left" w:pos="660"/>
              <w:tab w:val="right" w:leader="dot" w:pos="9350"/>
            </w:tabs>
            <w:rPr>
              <w:rFonts w:eastAsiaTheme="minorEastAsia"/>
              <w:noProof/>
              <w:lang w:val="en-CA" w:eastAsia="en-CA"/>
            </w:rPr>
          </w:pPr>
          <w:hyperlink w:anchor="_Toc77191107" w:history="1">
            <w:r w:rsidR="00F46CB4" w:rsidRPr="00FD2912">
              <w:rPr>
                <w:rStyle w:val="Hyperlink"/>
                <w:bCs/>
                <w:noProof/>
              </w:rPr>
              <w:t>13.</w:t>
            </w:r>
            <w:r w:rsidR="00F46CB4">
              <w:rPr>
                <w:rFonts w:eastAsiaTheme="minorEastAsia"/>
                <w:noProof/>
                <w:lang w:val="en-CA" w:eastAsia="en-CA"/>
              </w:rPr>
              <w:tab/>
            </w:r>
            <w:r w:rsidR="00F46CB4" w:rsidRPr="00FD2912">
              <w:rPr>
                <w:rStyle w:val="Hyperlink"/>
                <w:noProof/>
              </w:rPr>
              <w:t>Responsible staff</w:t>
            </w:r>
            <w:r w:rsidR="00F46CB4">
              <w:rPr>
                <w:noProof/>
                <w:webHidden/>
              </w:rPr>
              <w:tab/>
            </w:r>
            <w:r w:rsidR="00F46CB4">
              <w:rPr>
                <w:noProof/>
                <w:webHidden/>
              </w:rPr>
              <w:fldChar w:fldCharType="begin"/>
            </w:r>
            <w:r w:rsidR="00F46CB4">
              <w:rPr>
                <w:noProof/>
                <w:webHidden/>
              </w:rPr>
              <w:instrText xml:space="preserve"> PAGEREF _Toc77191107 \h </w:instrText>
            </w:r>
            <w:r w:rsidR="00F46CB4">
              <w:rPr>
                <w:noProof/>
                <w:webHidden/>
              </w:rPr>
            </w:r>
            <w:r w:rsidR="00F46CB4">
              <w:rPr>
                <w:noProof/>
                <w:webHidden/>
              </w:rPr>
              <w:fldChar w:fldCharType="separate"/>
            </w:r>
            <w:r w:rsidR="006E31D9">
              <w:rPr>
                <w:noProof/>
                <w:webHidden/>
              </w:rPr>
              <w:t>14</w:t>
            </w:r>
            <w:r w:rsidR="00F46CB4">
              <w:rPr>
                <w:noProof/>
                <w:webHidden/>
              </w:rPr>
              <w:fldChar w:fldCharType="end"/>
            </w:r>
          </w:hyperlink>
        </w:p>
        <w:p w14:paraId="36E03B2A" w14:textId="5DBD973C" w:rsidR="00F46CB4" w:rsidRDefault="00CA5582">
          <w:pPr>
            <w:pStyle w:val="TOC2"/>
            <w:tabs>
              <w:tab w:val="right" w:leader="dot" w:pos="9350"/>
            </w:tabs>
            <w:rPr>
              <w:rFonts w:eastAsiaTheme="minorEastAsia"/>
              <w:noProof/>
              <w:lang w:val="en-CA" w:eastAsia="en-CA"/>
            </w:rPr>
          </w:pPr>
          <w:hyperlink w:anchor="_Toc77191108" w:history="1">
            <w:r w:rsidR="00F46CB4" w:rsidRPr="00FD2912">
              <w:rPr>
                <w:rStyle w:val="Hyperlink"/>
                <w:noProof/>
              </w:rPr>
              <w:t>Table 13.0: Responsible Staff</w:t>
            </w:r>
            <w:r w:rsidR="00F46CB4">
              <w:rPr>
                <w:noProof/>
                <w:webHidden/>
              </w:rPr>
              <w:tab/>
            </w:r>
            <w:r w:rsidR="00F46CB4">
              <w:rPr>
                <w:noProof/>
                <w:webHidden/>
              </w:rPr>
              <w:fldChar w:fldCharType="begin"/>
            </w:r>
            <w:r w:rsidR="00F46CB4">
              <w:rPr>
                <w:noProof/>
                <w:webHidden/>
              </w:rPr>
              <w:instrText xml:space="preserve"> PAGEREF _Toc77191108 \h </w:instrText>
            </w:r>
            <w:r w:rsidR="00F46CB4">
              <w:rPr>
                <w:noProof/>
                <w:webHidden/>
              </w:rPr>
            </w:r>
            <w:r w:rsidR="00F46CB4">
              <w:rPr>
                <w:noProof/>
                <w:webHidden/>
              </w:rPr>
              <w:fldChar w:fldCharType="separate"/>
            </w:r>
            <w:r w:rsidR="006E31D9">
              <w:rPr>
                <w:noProof/>
                <w:webHidden/>
              </w:rPr>
              <w:t>14</w:t>
            </w:r>
            <w:r w:rsidR="00F46CB4">
              <w:rPr>
                <w:noProof/>
                <w:webHidden/>
              </w:rPr>
              <w:fldChar w:fldCharType="end"/>
            </w:r>
          </w:hyperlink>
        </w:p>
        <w:p w14:paraId="534A912C" w14:textId="6D5491DD" w:rsidR="00F46CB4" w:rsidRDefault="00CA5582">
          <w:pPr>
            <w:pStyle w:val="TOC1"/>
            <w:tabs>
              <w:tab w:val="left" w:pos="660"/>
              <w:tab w:val="right" w:leader="dot" w:pos="9350"/>
            </w:tabs>
            <w:rPr>
              <w:rFonts w:eastAsiaTheme="minorEastAsia"/>
              <w:noProof/>
              <w:lang w:val="en-CA" w:eastAsia="en-CA"/>
            </w:rPr>
          </w:pPr>
          <w:hyperlink w:anchor="_Toc77191109" w:history="1">
            <w:r w:rsidR="00F46CB4" w:rsidRPr="00FD2912">
              <w:rPr>
                <w:rStyle w:val="Hyperlink"/>
                <w:bCs/>
                <w:noProof/>
              </w:rPr>
              <w:t>14.</w:t>
            </w:r>
            <w:r w:rsidR="00F46CB4">
              <w:rPr>
                <w:rFonts w:eastAsiaTheme="minorEastAsia"/>
                <w:noProof/>
                <w:lang w:val="en-CA" w:eastAsia="en-CA"/>
              </w:rPr>
              <w:tab/>
            </w:r>
            <w:r w:rsidR="00F46CB4" w:rsidRPr="00FD2912">
              <w:rPr>
                <w:rStyle w:val="Hyperlink"/>
                <w:noProof/>
              </w:rPr>
              <w:t>Policies and Procedures</w:t>
            </w:r>
            <w:r w:rsidR="00F46CB4">
              <w:rPr>
                <w:noProof/>
                <w:webHidden/>
              </w:rPr>
              <w:tab/>
            </w:r>
            <w:r w:rsidR="00F46CB4">
              <w:rPr>
                <w:noProof/>
                <w:webHidden/>
              </w:rPr>
              <w:fldChar w:fldCharType="begin"/>
            </w:r>
            <w:r w:rsidR="00F46CB4">
              <w:rPr>
                <w:noProof/>
                <w:webHidden/>
              </w:rPr>
              <w:instrText xml:space="preserve"> PAGEREF _Toc77191109 \h </w:instrText>
            </w:r>
            <w:r w:rsidR="00F46CB4">
              <w:rPr>
                <w:noProof/>
                <w:webHidden/>
              </w:rPr>
            </w:r>
            <w:r w:rsidR="00F46CB4">
              <w:rPr>
                <w:noProof/>
                <w:webHidden/>
              </w:rPr>
              <w:fldChar w:fldCharType="separate"/>
            </w:r>
            <w:r w:rsidR="006E31D9">
              <w:rPr>
                <w:noProof/>
                <w:webHidden/>
              </w:rPr>
              <w:t>15</w:t>
            </w:r>
            <w:r w:rsidR="00F46CB4">
              <w:rPr>
                <w:noProof/>
                <w:webHidden/>
              </w:rPr>
              <w:fldChar w:fldCharType="end"/>
            </w:r>
          </w:hyperlink>
        </w:p>
        <w:p w14:paraId="6EB039CC" w14:textId="4803D4F3" w:rsidR="00F46CB4" w:rsidRDefault="00CA5582">
          <w:pPr>
            <w:pStyle w:val="TOC2"/>
            <w:tabs>
              <w:tab w:val="right" w:leader="dot" w:pos="9350"/>
            </w:tabs>
            <w:rPr>
              <w:rFonts w:eastAsiaTheme="minorEastAsia"/>
              <w:noProof/>
              <w:lang w:val="en-CA" w:eastAsia="en-CA"/>
            </w:rPr>
          </w:pPr>
          <w:hyperlink w:anchor="_Toc77191110" w:history="1">
            <w:r w:rsidR="00F46CB4" w:rsidRPr="00FD2912">
              <w:rPr>
                <w:rStyle w:val="Hyperlink"/>
                <w:noProof/>
              </w:rPr>
              <w:t>Age of Employment</w:t>
            </w:r>
            <w:r w:rsidR="00F46CB4">
              <w:rPr>
                <w:noProof/>
                <w:webHidden/>
              </w:rPr>
              <w:tab/>
            </w:r>
            <w:r w:rsidR="00F46CB4">
              <w:rPr>
                <w:noProof/>
                <w:webHidden/>
              </w:rPr>
              <w:fldChar w:fldCharType="begin"/>
            </w:r>
            <w:r w:rsidR="00F46CB4">
              <w:rPr>
                <w:noProof/>
                <w:webHidden/>
              </w:rPr>
              <w:instrText xml:space="preserve"> PAGEREF _Toc77191110 \h </w:instrText>
            </w:r>
            <w:r w:rsidR="00F46CB4">
              <w:rPr>
                <w:noProof/>
                <w:webHidden/>
              </w:rPr>
            </w:r>
            <w:r w:rsidR="00F46CB4">
              <w:rPr>
                <w:noProof/>
                <w:webHidden/>
              </w:rPr>
              <w:fldChar w:fldCharType="separate"/>
            </w:r>
            <w:r w:rsidR="006E31D9">
              <w:rPr>
                <w:noProof/>
                <w:webHidden/>
              </w:rPr>
              <w:t>15</w:t>
            </w:r>
            <w:r w:rsidR="00F46CB4">
              <w:rPr>
                <w:noProof/>
                <w:webHidden/>
              </w:rPr>
              <w:fldChar w:fldCharType="end"/>
            </w:r>
          </w:hyperlink>
        </w:p>
        <w:p w14:paraId="79A627C4" w14:textId="594EF925" w:rsidR="00F46CB4" w:rsidRDefault="00CA5582">
          <w:pPr>
            <w:pStyle w:val="TOC1"/>
            <w:tabs>
              <w:tab w:val="left" w:pos="660"/>
              <w:tab w:val="right" w:leader="dot" w:pos="9350"/>
            </w:tabs>
            <w:rPr>
              <w:rFonts w:eastAsiaTheme="minorEastAsia"/>
              <w:noProof/>
              <w:lang w:val="en-CA" w:eastAsia="en-CA"/>
            </w:rPr>
          </w:pPr>
          <w:hyperlink w:anchor="_Toc77191111" w:history="1">
            <w:r w:rsidR="00F46CB4" w:rsidRPr="00FD2912">
              <w:rPr>
                <w:rStyle w:val="Hyperlink"/>
                <w:bCs/>
                <w:noProof/>
              </w:rPr>
              <w:t>15.</w:t>
            </w:r>
            <w:r w:rsidR="00F46CB4">
              <w:rPr>
                <w:rFonts w:eastAsiaTheme="minorEastAsia"/>
                <w:noProof/>
                <w:lang w:val="en-CA" w:eastAsia="en-CA"/>
              </w:rPr>
              <w:tab/>
            </w:r>
            <w:r w:rsidR="00F46CB4" w:rsidRPr="00FD2912">
              <w:rPr>
                <w:rStyle w:val="Hyperlink"/>
                <w:noProof/>
              </w:rPr>
              <w:t>Contracted workers</w:t>
            </w:r>
            <w:r w:rsidR="00F46CB4">
              <w:rPr>
                <w:noProof/>
                <w:webHidden/>
              </w:rPr>
              <w:tab/>
            </w:r>
            <w:r w:rsidR="00F46CB4">
              <w:rPr>
                <w:noProof/>
                <w:webHidden/>
              </w:rPr>
              <w:fldChar w:fldCharType="begin"/>
            </w:r>
            <w:r w:rsidR="00F46CB4">
              <w:rPr>
                <w:noProof/>
                <w:webHidden/>
              </w:rPr>
              <w:instrText xml:space="preserve"> PAGEREF _Toc77191111 \h </w:instrText>
            </w:r>
            <w:r w:rsidR="00F46CB4">
              <w:rPr>
                <w:noProof/>
                <w:webHidden/>
              </w:rPr>
            </w:r>
            <w:r w:rsidR="00F46CB4">
              <w:rPr>
                <w:noProof/>
                <w:webHidden/>
              </w:rPr>
              <w:fldChar w:fldCharType="separate"/>
            </w:r>
            <w:r w:rsidR="006E31D9">
              <w:rPr>
                <w:noProof/>
                <w:webHidden/>
              </w:rPr>
              <w:t>16</w:t>
            </w:r>
            <w:r w:rsidR="00F46CB4">
              <w:rPr>
                <w:noProof/>
                <w:webHidden/>
              </w:rPr>
              <w:fldChar w:fldCharType="end"/>
            </w:r>
          </w:hyperlink>
        </w:p>
        <w:p w14:paraId="76507054" w14:textId="5EF13575" w:rsidR="00F46CB4" w:rsidRDefault="00CA5582">
          <w:pPr>
            <w:pStyle w:val="TOC1"/>
            <w:tabs>
              <w:tab w:val="left" w:pos="660"/>
              <w:tab w:val="right" w:leader="dot" w:pos="9350"/>
            </w:tabs>
            <w:rPr>
              <w:rFonts w:eastAsiaTheme="minorEastAsia"/>
              <w:noProof/>
              <w:lang w:val="en-CA" w:eastAsia="en-CA"/>
            </w:rPr>
          </w:pPr>
          <w:hyperlink w:anchor="_Toc77191112" w:history="1">
            <w:r w:rsidR="00F46CB4" w:rsidRPr="00FD2912">
              <w:rPr>
                <w:rStyle w:val="Hyperlink"/>
                <w:bCs/>
                <w:noProof/>
              </w:rPr>
              <w:t>16.</w:t>
            </w:r>
            <w:r w:rsidR="00F46CB4">
              <w:rPr>
                <w:rFonts w:eastAsiaTheme="minorEastAsia"/>
                <w:noProof/>
                <w:lang w:val="en-CA" w:eastAsia="en-CA"/>
              </w:rPr>
              <w:tab/>
            </w:r>
            <w:r w:rsidR="00F46CB4" w:rsidRPr="00FD2912">
              <w:rPr>
                <w:rStyle w:val="Hyperlink"/>
                <w:noProof/>
              </w:rPr>
              <w:t>Community Workers</w:t>
            </w:r>
            <w:r w:rsidR="00F46CB4">
              <w:rPr>
                <w:noProof/>
                <w:webHidden/>
              </w:rPr>
              <w:tab/>
            </w:r>
            <w:r w:rsidR="00F46CB4">
              <w:rPr>
                <w:noProof/>
                <w:webHidden/>
              </w:rPr>
              <w:fldChar w:fldCharType="begin"/>
            </w:r>
            <w:r w:rsidR="00F46CB4">
              <w:rPr>
                <w:noProof/>
                <w:webHidden/>
              </w:rPr>
              <w:instrText xml:space="preserve"> PAGEREF _Toc77191112 \h </w:instrText>
            </w:r>
            <w:r w:rsidR="00F46CB4">
              <w:rPr>
                <w:noProof/>
                <w:webHidden/>
              </w:rPr>
            </w:r>
            <w:r w:rsidR="00F46CB4">
              <w:rPr>
                <w:noProof/>
                <w:webHidden/>
              </w:rPr>
              <w:fldChar w:fldCharType="separate"/>
            </w:r>
            <w:r w:rsidR="006E31D9">
              <w:rPr>
                <w:noProof/>
                <w:webHidden/>
              </w:rPr>
              <w:t>16</w:t>
            </w:r>
            <w:r w:rsidR="00F46CB4">
              <w:rPr>
                <w:noProof/>
                <w:webHidden/>
              </w:rPr>
              <w:fldChar w:fldCharType="end"/>
            </w:r>
          </w:hyperlink>
        </w:p>
        <w:p w14:paraId="06F2368A" w14:textId="2413430C" w:rsidR="00F46CB4" w:rsidRDefault="00CA5582">
          <w:pPr>
            <w:pStyle w:val="TOC1"/>
            <w:tabs>
              <w:tab w:val="left" w:pos="660"/>
              <w:tab w:val="right" w:leader="dot" w:pos="9350"/>
            </w:tabs>
            <w:rPr>
              <w:rFonts w:eastAsiaTheme="minorEastAsia"/>
              <w:noProof/>
              <w:lang w:val="en-CA" w:eastAsia="en-CA"/>
            </w:rPr>
          </w:pPr>
          <w:hyperlink w:anchor="_Toc77191113" w:history="1">
            <w:r w:rsidR="00F46CB4" w:rsidRPr="00FD2912">
              <w:rPr>
                <w:rStyle w:val="Hyperlink"/>
                <w:bCs/>
                <w:noProof/>
              </w:rPr>
              <w:t>17.</w:t>
            </w:r>
            <w:r w:rsidR="00F46CB4">
              <w:rPr>
                <w:rFonts w:eastAsiaTheme="minorEastAsia"/>
                <w:noProof/>
                <w:lang w:val="en-CA" w:eastAsia="en-CA"/>
              </w:rPr>
              <w:tab/>
            </w:r>
            <w:r w:rsidR="00F46CB4" w:rsidRPr="00FD2912">
              <w:rPr>
                <w:rStyle w:val="Hyperlink"/>
                <w:noProof/>
              </w:rPr>
              <w:t>Grievance Mechanism</w:t>
            </w:r>
            <w:r w:rsidR="00F46CB4">
              <w:rPr>
                <w:noProof/>
                <w:webHidden/>
              </w:rPr>
              <w:tab/>
            </w:r>
            <w:r w:rsidR="00F46CB4">
              <w:rPr>
                <w:noProof/>
                <w:webHidden/>
              </w:rPr>
              <w:fldChar w:fldCharType="begin"/>
            </w:r>
            <w:r w:rsidR="00F46CB4">
              <w:rPr>
                <w:noProof/>
                <w:webHidden/>
              </w:rPr>
              <w:instrText xml:space="preserve"> PAGEREF _Toc77191113 \h </w:instrText>
            </w:r>
            <w:r w:rsidR="00F46CB4">
              <w:rPr>
                <w:noProof/>
                <w:webHidden/>
              </w:rPr>
            </w:r>
            <w:r w:rsidR="00F46CB4">
              <w:rPr>
                <w:noProof/>
                <w:webHidden/>
              </w:rPr>
              <w:fldChar w:fldCharType="separate"/>
            </w:r>
            <w:r w:rsidR="006E31D9">
              <w:rPr>
                <w:noProof/>
                <w:webHidden/>
              </w:rPr>
              <w:t>16</w:t>
            </w:r>
            <w:r w:rsidR="00F46CB4">
              <w:rPr>
                <w:noProof/>
                <w:webHidden/>
              </w:rPr>
              <w:fldChar w:fldCharType="end"/>
            </w:r>
          </w:hyperlink>
        </w:p>
        <w:p w14:paraId="1522EE87" w14:textId="1F297E2F" w:rsidR="00F46CB4" w:rsidRDefault="00CA5582">
          <w:pPr>
            <w:pStyle w:val="TOC2"/>
            <w:tabs>
              <w:tab w:val="right" w:leader="dot" w:pos="9350"/>
            </w:tabs>
            <w:rPr>
              <w:rFonts w:eastAsiaTheme="minorEastAsia"/>
              <w:noProof/>
              <w:lang w:val="en-CA" w:eastAsia="en-CA"/>
            </w:rPr>
          </w:pPr>
          <w:hyperlink w:anchor="_Toc77191114" w:history="1">
            <w:r w:rsidR="00F46CB4" w:rsidRPr="00FD2912">
              <w:rPr>
                <w:rStyle w:val="Hyperlink"/>
                <w:noProof/>
              </w:rPr>
              <w:t>Table 17.0: Contact names for grievance complaints</w:t>
            </w:r>
            <w:r w:rsidR="00F46CB4">
              <w:rPr>
                <w:noProof/>
                <w:webHidden/>
              </w:rPr>
              <w:tab/>
            </w:r>
            <w:r w:rsidR="00F46CB4">
              <w:rPr>
                <w:noProof/>
                <w:webHidden/>
              </w:rPr>
              <w:fldChar w:fldCharType="begin"/>
            </w:r>
            <w:r w:rsidR="00F46CB4">
              <w:rPr>
                <w:noProof/>
                <w:webHidden/>
              </w:rPr>
              <w:instrText xml:space="preserve"> PAGEREF _Toc77191114 \h </w:instrText>
            </w:r>
            <w:r w:rsidR="00F46CB4">
              <w:rPr>
                <w:noProof/>
                <w:webHidden/>
              </w:rPr>
            </w:r>
            <w:r w:rsidR="00F46CB4">
              <w:rPr>
                <w:noProof/>
                <w:webHidden/>
              </w:rPr>
              <w:fldChar w:fldCharType="separate"/>
            </w:r>
            <w:r w:rsidR="006E31D9">
              <w:rPr>
                <w:noProof/>
                <w:webHidden/>
              </w:rPr>
              <w:t>17</w:t>
            </w:r>
            <w:r w:rsidR="00F46CB4">
              <w:rPr>
                <w:noProof/>
                <w:webHidden/>
              </w:rPr>
              <w:fldChar w:fldCharType="end"/>
            </w:r>
          </w:hyperlink>
        </w:p>
        <w:p w14:paraId="782572D4" w14:textId="7CD972D8" w:rsidR="00F46CB4" w:rsidRDefault="00CA5582">
          <w:pPr>
            <w:pStyle w:val="TOC1"/>
            <w:tabs>
              <w:tab w:val="left" w:pos="660"/>
              <w:tab w:val="right" w:leader="dot" w:pos="9350"/>
            </w:tabs>
            <w:rPr>
              <w:rFonts w:eastAsiaTheme="minorEastAsia"/>
              <w:noProof/>
              <w:lang w:val="en-CA" w:eastAsia="en-CA"/>
            </w:rPr>
          </w:pPr>
          <w:hyperlink w:anchor="_Toc77191115" w:history="1">
            <w:r w:rsidR="00F46CB4" w:rsidRPr="00FD2912">
              <w:rPr>
                <w:rStyle w:val="Hyperlink"/>
                <w:bCs/>
                <w:noProof/>
              </w:rPr>
              <w:t>18.</w:t>
            </w:r>
            <w:r w:rsidR="00F46CB4">
              <w:rPr>
                <w:rFonts w:eastAsiaTheme="minorEastAsia"/>
                <w:noProof/>
                <w:lang w:val="en-CA" w:eastAsia="en-CA"/>
              </w:rPr>
              <w:tab/>
            </w:r>
            <w:r w:rsidR="00F46CB4" w:rsidRPr="00FD2912">
              <w:rPr>
                <w:rStyle w:val="Hyperlink"/>
                <w:noProof/>
              </w:rPr>
              <w:t>Addressing gender-based violence</w:t>
            </w:r>
            <w:r w:rsidR="00F46CB4">
              <w:rPr>
                <w:noProof/>
                <w:webHidden/>
              </w:rPr>
              <w:tab/>
            </w:r>
            <w:r w:rsidR="00F46CB4">
              <w:rPr>
                <w:noProof/>
                <w:webHidden/>
              </w:rPr>
              <w:fldChar w:fldCharType="begin"/>
            </w:r>
            <w:r w:rsidR="00F46CB4">
              <w:rPr>
                <w:noProof/>
                <w:webHidden/>
              </w:rPr>
              <w:instrText xml:space="preserve"> PAGEREF _Toc77191115 \h </w:instrText>
            </w:r>
            <w:r w:rsidR="00F46CB4">
              <w:rPr>
                <w:noProof/>
                <w:webHidden/>
              </w:rPr>
            </w:r>
            <w:r w:rsidR="00F46CB4">
              <w:rPr>
                <w:noProof/>
                <w:webHidden/>
              </w:rPr>
              <w:fldChar w:fldCharType="separate"/>
            </w:r>
            <w:r w:rsidR="006E31D9">
              <w:rPr>
                <w:noProof/>
                <w:webHidden/>
              </w:rPr>
              <w:t>17</w:t>
            </w:r>
            <w:r w:rsidR="00F46CB4">
              <w:rPr>
                <w:noProof/>
                <w:webHidden/>
              </w:rPr>
              <w:fldChar w:fldCharType="end"/>
            </w:r>
          </w:hyperlink>
        </w:p>
        <w:p w14:paraId="4FB31B49" w14:textId="566B89C8" w:rsidR="00F46CB4" w:rsidRDefault="00CA5582">
          <w:pPr>
            <w:pStyle w:val="TOC1"/>
            <w:tabs>
              <w:tab w:val="left" w:pos="660"/>
              <w:tab w:val="right" w:leader="dot" w:pos="9350"/>
            </w:tabs>
            <w:rPr>
              <w:rFonts w:eastAsiaTheme="minorEastAsia"/>
              <w:noProof/>
              <w:lang w:val="en-CA" w:eastAsia="en-CA"/>
            </w:rPr>
          </w:pPr>
          <w:hyperlink w:anchor="_Toc77191116" w:history="1">
            <w:r w:rsidR="00F46CB4" w:rsidRPr="00FD2912">
              <w:rPr>
                <w:rStyle w:val="Hyperlink"/>
                <w:bCs/>
                <w:noProof/>
              </w:rPr>
              <w:t>19.</w:t>
            </w:r>
            <w:r w:rsidR="00F46CB4">
              <w:rPr>
                <w:rFonts w:eastAsiaTheme="minorEastAsia"/>
                <w:noProof/>
                <w:lang w:val="en-CA" w:eastAsia="en-CA"/>
              </w:rPr>
              <w:tab/>
            </w:r>
            <w:r w:rsidR="00F46CB4" w:rsidRPr="00FD2912">
              <w:rPr>
                <w:rStyle w:val="Hyperlink"/>
                <w:bCs/>
                <w:noProof/>
              </w:rPr>
              <w:t>Disclosure</w:t>
            </w:r>
            <w:r w:rsidR="00F46CB4">
              <w:rPr>
                <w:noProof/>
                <w:webHidden/>
              </w:rPr>
              <w:tab/>
            </w:r>
            <w:r w:rsidR="00F46CB4">
              <w:rPr>
                <w:noProof/>
                <w:webHidden/>
              </w:rPr>
              <w:fldChar w:fldCharType="begin"/>
            </w:r>
            <w:r w:rsidR="00F46CB4">
              <w:rPr>
                <w:noProof/>
                <w:webHidden/>
              </w:rPr>
              <w:instrText xml:space="preserve"> PAGEREF _Toc77191116 \h </w:instrText>
            </w:r>
            <w:r w:rsidR="00F46CB4">
              <w:rPr>
                <w:noProof/>
                <w:webHidden/>
              </w:rPr>
            </w:r>
            <w:r w:rsidR="00F46CB4">
              <w:rPr>
                <w:noProof/>
                <w:webHidden/>
              </w:rPr>
              <w:fldChar w:fldCharType="separate"/>
            </w:r>
            <w:r w:rsidR="006E31D9">
              <w:rPr>
                <w:noProof/>
                <w:webHidden/>
              </w:rPr>
              <w:t>18</w:t>
            </w:r>
            <w:r w:rsidR="00F46CB4">
              <w:rPr>
                <w:noProof/>
                <w:webHidden/>
              </w:rPr>
              <w:fldChar w:fldCharType="end"/>
            </w:r>
          </w:hyperlink>
        </w:p>
        <w:p w14:paraId="7BE7DAC1" w14:textId="252AAB7E" w:rsidR="00657CF8" w:rsidRDefault="00681E7E" w:rsidP="009C55A3">
          <w:r>
            <w:rPr>
              <w:b/>
              <w:bCs/>
              <w:noProof/>
            </w:rPr>
            <w:fldChar w:fldCharType="end"/>
          </w:r>
        </w:p>
      </w:sdtContent>
    </w:sdt>
    <w:p w14:paraId="708C6FF2" w14:textId="37EC8089" w:rsidR="00657CF8" w:rsidRDefault="00657CF8">
      <w:r>
        <w:br w:type="page"/>
      </w:r>
    </w:p>
    <w:p w14:paraId="7181F078" w14:textId="2BD2943B" w:rsidR="004D7E39" w:rsidRPr="00A120B0" w:rsidRDefault="004D7E39" w:rsidP="001F2D19">
      <w:pPr>
        <w:pStyle w:val="Heading1"/>
        <w:numPr>
          <w:ilvl w:val="0"/>
          <w:numId w:val="0"/>
        </w:numPr>
      </w:pPr>
      <w:bookmarkStart w:id="2" w:name="_Toc76128222"/>
      <w:bookmarkStart w:id="3" w:name="_Toc77191085"/>
      <w:r w:rsidRPr="00A120B0">
        <w:t>Grant Summary</w:t>
      </w:r>
      <w:bookmarkEnd w:id="2"/>
      <w:bookmarkEnd w:id="3"/>
    </w:p>
    <w:p w14:paraId="342C8B26" w14:textId="3EF203CC" w:rsidR="004D7E39" w:rsidRPr="001F2D19" w:rsidRDefault="004D7E39" w:rsidP="001F2D19">
      <w:pPr>
        <w:pStyle w:val="Heading1"/>
        <w:rPr>
          <w:rFonts w:cstheme="minorHAnsi"/>
          <w:lang w:val="es-419"/>
        </w:rPr>
      </w:pPr>
      <w:bookmarkStart w:id="4" w:name="_Toc76399742"/>
      <w:bookmarkStart w:id="5" w:name="_Toc77191086"/>
      <w:proofErr w:type="spellStart"/>
      <w:r w:rsidRPr="001F2D19">
        <w:rPr>
          <w:rStyle w:val="Heading1Char"/>
          <w:rFonts w:cstheme="minorHAnsi"/>
          <w:b/>
          <w:bCs/>
          <w:szCs w:val="22"/>
          <w:lang w:val="es-419"/>
        </w:rPr>
        <w:t>Grantee</w:t>
      </w:r>
      <w:proofErr w:type="spellEnd"/>
      <w:r w:rsidRPr="001F2D19">
        <w:rPr>
          <w:rStyle w:val="Heading1Char"/>
          <w:rFonts w:cstheme="minorHAnsi"/>
          <w:b/>
          <w:bCs/>
          <w:szCs w:val="22"/>
          <w:lang w:val="es-419"/>
        </w:rPr>
        <w:t xml:space="preserve"> </w:t>
      </w:r>
      <w:proofErr w:type="spellStart"/>
      <w:r w:rsidRPr="001F2D19">
        <w:rPr>
          <w:rStyle w:val="Heading1Char"/>
          <w:rFonts w:cstheme="minorHAnsi"/>
          <w:b/>
          <w:bCs/>
          <w:szCs w:val="22"/>
          <w:lang w:val="es-419"/>
        </w:rPr>
        <w:t>organization</w:t>
      </w:r>
      <w:bookmarkEnd w:id="4"/>
      <w:proofErr w:type="spellEnd"/>
      <w:r w:rsidRPr="001F2D19">
        <w:rPr>
          <w:rFonts w:cstheme="minorHAnsi"/>
          <w:szCs w:val="22"/>
          <w:lang w:val="es-419"/>
        </w:rPr>
        <w:t xml:space="preserve">: </w:t>
      </w:r>
      <w:r w:rsidRPr="001F2D19">
        <w:rPr>
          <w:b w:val="0"/>
          <w:bCs/>
          <w:lang w:val="es-419"/>
        </w:rPr>
        <w:t>Instituto Tecnológico de Santo Domingo (INTEC)</w:t>
      </w:r>
      <w:bookmarkEnd w:id="5"/>
      <w:r w:rsidRPr="001F2D19">
        <w:rPr>
          <w:lang w:val="es-419"/>
        </w:rPr>
        <w:t xml:space="preserve"> </w:t>
      </w:r>
    </w:p>
    <w:p w14:paraId="0134927A" w14:textId="77777777" w:rsidR="001F2D19" w:rsidRDefault="004D7E39" w:rsidP="00DC0F12">
      <w:pPr>
        <w:pStyle w:val="ListParagraph"/>
        <w:numPr>
          <w:ilvl w:val="0"/>
          <w:numId w:val="1"/>
        </w:numPr>
        <w:ind w:left="357" w:hanging="357"/>
      </w:pPr>
      <w:bookmarkStart w:id="6" w:name="_Toc76399743"/>
      <w:bookmarkStart w:id="7" w:name="_Toc77191087"/>
      <w:r w:rsidRPr="001F2D19">
        <w:rPr>
          <w:rStyle w:val="Heading1Char"/>
          <w:rFonts w:cstheme="minorHAnsi"/>
          <w:szCs w:val="22"/>
        </w:rPr>
        <w:t>Project title</w:t>
      </w:r>
      <w:bookmarkEnd w:id="6"/>
      <w:bookmarkEnd w:id="7"/>
      <w:r w:rsidRPr="001F2D19">
        <w:rPr>
          <w:rFonts w:cstheme="minorHAnsi"/>
          <w:b/>
          <w:bCs/>
        </w:rPr>
        <w:t>:</w:t>
      </w:r>
      <w:r w:rsidRPr="001F2D19">
        <w:rPr>
          <w:rFonts w:cstheme="minorHAnsi"/>
        </w:rPr>
        <w:t xml:space="preserve"> </w:t>
      </w:r>
      <w:r w:rsidRPr="00150433">
        <w:t>Collaborative Social Accountability for Improved Governance in Protecting Biodiversity Hotspots Project</w:t>
      </w:r>
      <w:bookmarkStart w:id="8" w:name="_Toc76399744"/>
    </w:p>
    <w:p w14:paraId="149D3920" w14:textId="77777777" w:rsidR="001F2D19" w:rsidRDefault="004D7E39" w:rsidP="00DC0F12">
      <w:pPr>
        <w:pStyle w:val="ListParagraph"/>
        <w:numPr>
          <w:ilvl w:val="0"/>
          <w:numId w:val="1"/>
        </w:numPr>
        <w:ind w:left="357" w:hanging="357"/>
      </w:pPr>
      <w:bookmarkStart w:id="9" w:name="_Toc77191088"/>
      <w:r w:rsidRPr="001F2D19">
        <w:rPr>
          <w:rStyle w:val="Heading1Char"/>
          <w:rFonts w:cstheme="minorHAnsi"/>
          <w:szCs w:val="22"/>
        </w:rPr>
        <w:t>Grant number</w:t>
      </w:r>
      <w:bookmarkEnd w:id="8"/>
      <w:bookmarkEnd w:id="9"/>
      <w:r w:rsidRPr="004D7E39">
        <w:t>: 1</w:t>
      </w:r>
      <w:r w:rsidR="001A4BAD">
        <w:t>11512</w:t>
      </w:r>
      <w:bookmarkStart w:id="10" w:name="_Toc76399745"/>
    </w:p>
    <w:p w14:paraId="039EDEAB" w14:textId="77777777" w:rsidR="001F2D19" w:rsidRDefault="004D7E39" w:rsidP="00DC0F12">
      <w:pPr>
        <w:pStyle w:val="ListParagraph"/>
        <w:numPr>
          <w:ilvl w:val="0"/>
          <w:numId w:val="1"/>
        </w:numPr>
        <w:ind w:left="357" w:hanging="357"/>
      </w:pPr>
      <w:bookmarkStart w:id="11" w:name="_Toc77191089"/>
      <w:r w:rsidRPr="001F2D19">
        <w:rPr>
          <w:rStyle w:val="Heading1Char"/>
          <w:rFonts w:cstheme="minorHAnsi"/>
          <w:szCs w:val="22"/>
        </w:rPr>
        <w:t>Grant amount (US dollars</w:t>
      </w:r>
      <w:bookmarkEnd w:id="10"/>
      <w:bookmarkEnd w:id="11"/>
      <w:r w:rsidRPr="004D7E39">
        <w:t>): $500,000</w:t>
      </w:r>
      <w:bookmarkStart w:id="12" w:name="_Toc76399746"/>
    </w:p>
    <w:p w14:paraId="417926DB" w14:textId="77777777" w:rsidR="001F2D19" w:rsidRDefault="004D7E39" w:rsidP="00DC0F12">
      <w:pPr>
        <w:pStyle w:val="ListParagraph"/>
        <w:numPr>
          <w:ilvl w:val="0"/>
          <w:numId w:val="1"/>
        </w:numPr>
        <w:ind w:left="357" w:hanging="357"/>
      </w:pPr>
      <w:bookmarkStart w:id="13" w:name="_Toc77191090"/>
      <w:r w:rsidRPr="001F2D19">
        <w:rPr>
          <w:rStyle w:val="Heading1Char"/>
          <w:rFonts w:cstheme="minorHAnsi"/>
          <w:szCs w:val="22"/>
        </w:rPr>
        <w:t>Proposed dates of grant</w:t>
      </w:r>
      <w:bookmarkEnd w:id="12"/>
      <w:bookmarkEnd w:id="13"/>
      <w:r w:rsidRPr="004D7E39">
        <w:t xml:space="preserve">: </w:t>
      </w:r>
      <w:r>
        <w:t xml:space="preserve">August </w:t>
      </w:r>
      <w:r w:rsidRPr="004D7E39">
        <w:t>1, 2021 – Ju</w:t>
      </w:r>
      <w:r>
        <w:t xml:space="preserve">ly </w:t>
      </w:r>
      <w:r w:rsidR="00EE7CF4">
        <w:t>3</w:t>
      </w:r>
      <w:r>
        <w:t>1</w:t>
      </w:r>
      <w:r w:rsidRPr="004D7E39">
        <w:t>, 202</w:t>
      </w:r>
      <w:r>
        <w:t>5</w:t>
      </w:r>
      <w:bookmarkStart w:id="14" w:name="_Toc76399747"/>
    </w:p>
    <w:p w14:paraId="3A00F02E" w14:textId="77777777" w:rsidR="001F2D19" w:rsidRDefault="004D7E39" w:rsidP="00DC0F12">
      <w:pPr>
        <w:pStyle w:val="ListParagraph"/>
        <w:numPr>
          <w:ilvl w:val="0"/>
          <w:numId w:val="1"/>
        </w:numPr>
        <w:ind w:left="357" w:hanging="357"/>
      </w:pPr>
      <w:bookmarkStart w:id="15" w:name="_Toc77191091"/>
      <w:r w:rsidRPr="001F2D19">
        <w:rPr>
          <w:rStyle w:val="Heading1Char"/>
          <w:rFonts w:cstheme="minorHAnsi"/>
          <w:szCs w:val="22"/>
        </w:rPr>
        <w:t xml:space="preserve">Countries where activities will be </w:t>
      </w:r>
      <w:proofErr w:type="gramStart"/>
      <w:r w:rsidRPr="001F2D19">
        <w:rPr>
          <w:rStyle w:val="Heading1Char"/>
          <w:rFonts w:cstheme="minorHAnsi"/>
          <w:szCs w:val="22"/>
        </w:rPr>
        <w:t>undertaken</w:t>
      </w:r>
      <w:bookmarkEnd w:id="14"/>
      <w:bookmarkEnd w:id="15"/>
      <w:r w:rsidRPr="001F2D19">
        <w:rPr>
          <w:bCs/>
        </w:rPr>
        <w:t>:</w:t>
      </w:r>
      <w:proofErr w:type="gramEnd"/>
      <w:r w:rsidRPr="004D7E39">
        <w:t xml:space="preserve"> Antigua and Barbuda, Dominican Republic, Jamaica, </w:t>
      </w:r>
      <w:r>
        <w:t xml:space="preserve">and </w:t>
      </w:r>
      <w:r w:rsidRPr="004D7E39">
        <w:t>Saint Lucia</w:t>
      </w:r>
      <w:r>
        <w:t>.</w:t>
      </w:r>
      <w:bookmarkStart w:id="16" w:name="_Toc76399748"/>
    </w:p>
    <w:p w14:paraId="497D30D3" w14:textId="0F869B4F" w:rsidR="009C55A3" w:rsidRPr="009C55A3" w:rsidRDefault="004D7E39" w:rsidP="00DC0F12">
      <w:pPr>
        <w:pStyle w:val="ListParagraph"/>
        <w:numPr>
          <w:ilvl w:val="0"/>
          <w:numId w:val="1"/>
        </w:numPr>
        <w:ind w:left="357" w:hanging="357"/>
      </w:pPr>
      <w:bookmarkStart w:id="17" w:name="_Toc77191092"/>
      <w:r w:rsidRPr="001F2D19">
        <w:rPr>
          <w:rStyle w:val="Heading1Char"/>
          <w:rFonts w:cstheme="minorHAnsi"/>
          <w:szCs w:val="22"/>
        </w:rPr>
        <w:t>Date of preparation of this document</w:t>
      </w:r>
      <w:bookmarkEnd w:id="16"/>
      <w:bookmarkEnd w:id="17"/>
      <w:r w:rsidRPr="009C55A3">
        <w:t>: July 2021</w:t>
      </w:r>
    </w:p>
    <w:p w14:paraId="4D523D30" w14:textId="5F518A66" w:rsidR="00662F4A" w:rsidRPr="009C55A3" w:rsidRDefault="009C55A3" w:rsidP="001F2D19">
      <w:pPr>
        <w:pStyle w:val="Heading1"/>
        <w:rPr>
          <w:bCs/>
        </w:rPr>
      </w:pPr>
      <w:bookmarkStart w:id="18" w:name="_Toc77191093"/>
      <w:r w:rsidRPr="00681E7E">
        <w:t xml:space="preserve">Overview of Labor Use on </w:t>
      </w:r>
      <w:r w:rsidRPr="001F2D19">
        <w:t>the</w:t>
      </w:r>
      <w:r w:rsidRPr="00681E7E">
        <w:t xml:space="preserve"> Project</w:t>
      </w:r>
      <w:bookmarkEnd w:id="18"/>
      <w:r>
        <w:t xml:space="preserve"> </w:t>
      </w:r>
    </w:p>
    <w:p w14:paraId="67023433" w14:textId="6A6056D3" w:rsidR="00662F4A" w:rsidRDefault="00662F4A" w:rsidP="001E2DC6">
      <w:pPr>
        <w:autoSpaceDE w:val="0"/>
        <w:autoSpaceDN w:val="0"/>
        <w:adjustRightInd w:val="0"/>
        <w:jc w:val="both"/>
        <w:rPr>
          <w:lang w:val="en-GB"/>
        </w:rPr>
      </w:pPr>
      <w:r w:rsidRPr="00326BDD">
        <w:rPr>
          <w:rFonts w:ascii="Calibri" w:hAnsi="Calibri" w:cs="Calibri"/>
        </w:rPr>
        <w:t>Th</w:t>
      </w:r>
      <w:r>
        <w:rPr>
          <w:rFonts w:ascii="Calibri" w:hAnsi="Calibri" w:cs="Calibri"/>
        </w:rPr>
        <w:t>ese</w:t>
      </w:r>
      <w:r w:rsidRPr="00326BDD">
        <w:rPr>
          <w:rFonts w:ascii="Calibri" w:hAnsi="Calibri" w:cs="Calibri"/>
        </w:rPr>
        <w:t xml:space="preserve"> Labor Management Procedures (LMP) </w:t>
      </w:r>
      <w:r>
        <w:rPr>
          <w:rFonts w:ascii="Calibri" w:hAnsi="Calibri" w:cs="Calibri"/>
        </w:rPr>
        <w:t xml:space="preserve">have been </w:t>
      </w:r>
      <w:r>
        <w:t xml:space="preserve">prepared for the </w:t>
      </w:r>
      <w:r w:rsidRPr="00F44694">
        <w:t xml:space="preserve">Critical Ecosystem Partnership Fund – Caribbean </w:t>
      </w:r>
      <w:r w:rsidR="004D7E39">
        <w:t xml:space="preserve">Islands Biodiversity </w:t>
      </w:r>
      <w:r w:rsidRPr="00F44694">
        <w:t>Hotspot Project</w:t>
      </w:r>
      <w:r w:rsidR="004D7E39">
        <w:t xml:space="preserve"> (CEPF Grant #</w:t>
      </w:r>
      <w:r w:rsidR="001A4BAD">
        <w:t>111512</w:t>
      </w:r>
      <w:r w:rsidR="004D7E39">
        <w:t>)</w:t>
      </w:r>
      <w:r>
        <w:t xml:space="preserve">, funded by the </w:t>
      </w:r>
      <w:r>
        <w:rPr>
          <w:lang w:val="en-GB"/>
        </w:rPr>
        <w:t>Policy and Human Resources Development</w:t>
      </w:r>
      <w:r w:rsidRPr="00D95C0D">
        <w:rPr>
          <w:lang w:val="en-GB"/>
        </w:rPr>
        <w:t xml:space="preserve"> Trust Fund</w:t>
      </w:r>
      <w:r>
        <w:rPr>
          <w:lang w:val="en-GB"/>
        </w:rPr>
        <w:t xml:space="preserve"> at the World Bank and implemented by Conservation International (CI). </w:t>
      </w:r>
      <w:r w:rsidR="000B41DE">
        <w:rPr>
          <w:lang w:val="en-GB"/>
        </w:rPr>
        <w:t xml:space="preserve">The </w:t>
      </w:r>
      <w:r w:rsidR="000B41DE" w:rsidRPr="000B41DE">
        <w:rPr>
          <w:lang w:val="en-GB"/>
        </w:rPr>
        <w:t>Collaborative Social Accountability</w:t>
      </w:r>
      <w:r w:rsidR="000B41DE">
        <w:rPr>
          <w:lang w:val="en-GB"/>
        </w:rPr>
        <w:t xml:space="preserve"> (CSA</w:t>
      </w:r>
      <w:r w:rsidR="000B41DE" w:rsidRPr="000B41DE">
        <w:rPr>
          <w:lang w:val="en-GB"/>
        </w:rPr>
        <w:t xml:space="preserve"> for Improved Governance in Protecting Biodiversity Hotspots Project </w:t>
      </w:r>
      <w:r w:rsidR="001A4BAD">
        <w:rPr>
          <w:lang w:val="en-GB"/>
        </w:rPr>
        <w:t xml:space="preserve">will be implemented by </w:t>
      </w:r>
      <w:r w:rsidR="001A4BAD" w:rsidRPr="00150433">
        <w:t xml:space="preserve">Instituto </w:t>
      </w:r>
      <w:proofErr w:type="spellStart"/>
      <w:r w:rsidR="001A4BAD" w:rsidRPr="00150433">
        <w:t>Tecnológico</w:t>
      </w:r>
      <w:proofErr w:type="spellEnd"/>
      <w:r w:rsidR="001A4BAD" w:rsidRPr="00150433">
        <w:t xml:space="preserve"> de Santo Domingo (INTEC)</w:t>
      </w:r>
      <w:r w:rsidR="001A4BAD">
        <w:t xml:space="preserve"> as the lead, headquartered in the Dominican Republic and its sub-grantee partner, Integrated Health Outreach Inc, headquartered in Antigua and Barbuda.</w:t>
      </w:r>
      <w:r w:rsidR="000B41DE">
        <w:t xml:space="preserve"> The project </w:t>
      </w:r>
      <w:r w:rsidR="000B41DE" w:rsidRPr="000B41DE">
        <w:t xml:space="preserve">is a joint effort by the World Bank GPSA and CEPF, to contribute to improving biodiversity conservation in KBAs located in four Caribbean countries (Dominican Republic and Antigua and Barbuda, during the first year, with adaptive replication in Jamaica and Saint Lucia during years 2 to 4) through collaborative social accountability mechanisms between governments, </w:t>
      </w:r>
      <w:proofErr w:type="gramStart"/>
      <w:r w:rsidR="000B41DE" w:rsidRPr="000B41DE">
        <w:t>citizens</w:t>
      </w:r>
      <w:proofErr w:type="gramEnd"/>
      <w:r w:rsidR="000B41DE" w:rsidRPr="000B41DE">
        <w:t xml:space="preserve"> and civil society organizations (CSOs).</w:t>
      </w:r>
    </w:p>
    <w:p w14:paraId="5A997998" w14:textId="14C574A7" w:rsidR="00662F4A" w:rsidRDefault="00E12521" w:rsidP="001E2DC6">
      <w:pPr>
        <w:autoSpaceDE w:val="0"/>
        <w:autoSpaceDN w:val="0"/>
        <w:adjustRightInd w:val="0"/>
        <w:jc w:val="both"/>
      </w:pPr>
      <w:r>
        <w:t xml:space="preserve">The initiative forms part of the </w:t>
      </w:r>
      <w:r w:rsidRPr="00154021">
        <w:t>Critical Ecosystem Partnership Fund – Caribbean Hotspot Project (P173464)</w:t>
      </w:r>
      <w:r w:rsidRPr="002450AB">
        <w:t xml:space="preserve"> </w:t>
      </w:r>
      <w:r>
        <w:t>funded by the Policy and Human Resources Development Trust Fund at the World Bank and implemented by Conservation International (CI), headquartered in Washington, D.C., USA, which</w:t>
      </w:r>
      <w:r w:rsidRPr="008C1D53">
        <w:t xml:space="preserve"> aims to improve the capacity of CSOs to reduce threats to globally important biodiversity in the Caribbean Islands Biodiversity Hotspot</w:t>
      </w:r>
      <w:r>
        <w:t xml:space="preserve">. </w:t>
      </w:r>
      <w:r w:rsidR="003B5E7A">
        <w:t xml:space="preserve">INTEC will lead the Collaborative Social Accountability Team (CSAT), with project staff based in Santo Domingo, Dominican Republic. </w:t>
      </w:r>
      <w:r w:rsidR="000B41DE">
        <w:t xml:space="preserve">IHO staff, based in St. John, </w:t>
      </w:r>
      <w:proofErr w:type="gramStart"/>
      <w:r w:rsidR="000B41DE">
        <w:t>Antigua</w:t>
      </w:r>
      <w:proofErr w:type="gramEnd"/>
      <w:r w:rsidR="000B41DE">
        <w:t xml:space="preserve"> and Barbuda, and two coordinators who will be contracted in Jamaica and Saint Lucia, complete the CSAT core team. An independent evaluator (M&amp;E specialist) will also be contracted. The CSAT will work closely with CANARI and the CEPF secretariat to implement the project activities </w:t>
      </w:r>
      <w:r>
        <w:t xml:space="preserve"> </w:t>
      </w:r>
    </w:p>
    <w:p w14:paraId="4CDA99BB" w14:textId="21FE28E1" w:rsidR="00662F4A" w:rsidRPr="00326BDD" w:rsidRDefault="00662F4A" w:rsidP="001E2DC6">
      <w:pPr>
        <w:autoSpaceDE w:val="0"/>
        <w:autoSpaceDN w:val="0"/>
        <w:adjustRightInd w:val="0"/>
        <w:jc w:val="both"/>
        <w:rPr>
          <w:rFonts w:cstheme="minorHAnsi"/>
        </w:rPr>
      </w:pPr>
      <w:r w:rsidRPr="00326BDD">
        <w:rPr>
          <w:rFonts w:ascii="Calibri" w:hAnsi="Calibri" w:cs="Calibri"/>
        </w:rPr>
        <w:t>The</w:t>
      </w:r>
      <w:r>
        <w:rPr>
          <w:rFonts w:ascii="Calibri" w:hAnsi="Calibri" w:cs="Calibri"/>
        </w:rPr>
        <w:t xml:space="preserve"> LMP</w:t>
      </w:r>
      <w:r w:rsidRPr="00326BDD">
        <w:rPr>
          <w:rFonts w:ascii="Calibri" w:hAnsi="Calibri" w:cs="Calibri"/>
        </w:rPr>
        <w:t xml:space="preserve"> seek</w:t>
      </w:r>
      <w:r w:rsidR="000B41DE">
        <w:rPr>
          <w:rFonts w:ascii="Calibri" w:hAnsi="Calibri" w:cs="Calibri"/>
        </w:rPr>
        <w:t>s</w:t>
      </w:r>
      <w:r w:rsidRPr="00326BDD">
        <w:rPr>
          <w:rFonts w:ascii="Calibri" w:hAnsi="Calibri" w:cs="Calibri"/>
        </w:rPr>
        <w:t xml:space="preserve"> to ensure that</w:t>
      </w:r>
      <w:r>
        <w:rPr>
          <w:rFonts w:ascii="Calibri" w:hAnsi="Calibri" w:cs="Calibri"/>
        </w:rPr>
        <w:t xml:space="preserve"> </w:t>
      </w:r>
      <w:r w:rsidRPr="00326BDD">
        <w:rPr>
          <w:rFonts w:ascii="Calibri" w:hAnsi="Calibri" w:cs="Calibri"/>
        </w:rPr>
        <w:t>measures are in place to manage risks associated with employment under the project and help to</w:t>
      </w:r>
      <w:r>
        <w:rPr>
          <w:rFonts w:ascii="Calibri" w:hAnsi="Calibri" w:cs="Calibri"/>
        </w:rPr>
        <w:t xml:space="preserve"> </w:t>
      </w:r>
      <w:r w:rsidRPr="00326BDD">
        <w:rPr>
          <w:rFonts w:ascii="Calibri" w:hAnsi="Calibri" w:cs="Calibri"/>
        </w:rPr>
        <w:t xml:space="preserve">determine the resources necessary for effective planning and management. </w:t>
      </w:r>
      <w:r>
        <w:rPr>
          <w:rFonts w:ascii="Calibri" w:hAnsi="Calibri" w:cs="Calibri"/>
        </w:rPr>
        <w:t xml:space="preserve">They </w:t>
      </w:r>
      <w:r w:rsidRPr="00326BDD">
        <w:rPr>
          <w:rFonts w:ascii="Calibri" w:hAnsi="Calibri" w:cs="Calibri"/>
        </w:rPr>
        <w:t>set out the approach to</w:t>
      </w:r>
      <w:r>
        <w:rPr>
          <w:rFonts w:ascii="Calibri" w:hAnsi="Calibri" w:cs="Calibri"/>
        </w:rPr>
        <w:t xml:space="preserve"> complying with national labor legislation, as </w:t>
      </w:r>
      <w:r w:rsidRPr="00326BDD">
        <w:rPr>
          <w:rFonts w:ascii="Calibri" w:hAnsi="Calibri" w:cs="Calibri"/>
        </w:rPr>
        <w:t>well as the objectives of the World Banks’s Environmental and Social</w:t>
      </w:r>
      <w:r>
        <w:rPr>
          <w:rFonts w:ascii="Calibri" w:hAnsi="Calibri" w:cs="Calibri"/>
        </w:rPr>
        <w:t xml:space="preserve"> </w:t>
      </w:r>
      <w:r w:rsidRPr="00326BDD">
        <w:rPr>
          <w:rFonts w:ascii="Calibri" w:hAnsi="Calibri" w:cs="Calibri"/>
        </w:rPr>
        <w:t>Framework</w:t>
      </w:r>
      <w:r>
        <w:rPr>
          <w:rFonts w:ascii="Calibri" w:hAnsi="Calibri" w:cs="Calibri"/>
        </w:rPr>
        <w:t xml:space="preserve"> (ESF)</w:t>
      </w:r>
      <w:r w:rsidRPr="00326BDD">
        <w:rPr>
          <w:rFonts w:ascii="Calibri" w:hAnsi="Calibri" w:cs="Calibri"/>
        </w:rPr>
        <w:t xml:space="preserve">, </w:t>
      </w:r>
      <w:proofErr w:type="gramStart"/>
      <w:r>
        <w:rPr>
          <w:rFonts w:ascii="Calibri" w:hAnsi="Calibri" w:cs="Calibri"/>
        </w:rPr>
        <w:t xml:space="preserve">in particular </w:t>
      </w:r>
      <w:r w:rsidRPr="00326BDD">
        <w:rPr>
          <w:rFonts w:ascii="Calibri" w:hAnsi="Calibri" w:cs="Calibri"/>
        </w:rPr>
        <w:t>Environmental</w:t>
      </w:r>
      <w:proofErr w:type="gramEnd"/>
      <w:r w:rsidRPr="00326BDD">
        <w:rPr>
          <w:rFonts w:ascii="Calibri" w:hAnsi="Calibri" w:cs="Calibri"/>
        </w:rPr>
        <w:t xml:space="preserve"> and Social Standard 2 (ESS2)</w:t>
      </w:r>
      <w:r>
        <w:rPr>
          <w:rFonts w:ascii="Calibri" w:hAnsi="Calibri" w:cs="Calibri"/>
        </w:rPr>
        <w:t xml:space="preserve"> on</w:t>
      </w:r>
      <w:r w:rsidRPr="00326BDD">
        <w:rPr>
          <w:rFonts w:ascii="Calibri" w:hAnsi="Calibri" w:cs="Calibri"/>
        </w:rPr>
        <w:t xml:space="preserve"> </w:t>
      </w:r>
      <w:proofErr w:type="spellStart"/>
      <w:r w:rsidRPr="00326BDD">
        <w:rPr>
          <w:rFonts w:ascii="Calibri" w:hAnsi="Calibri" w:cs="Calibri"/>
        </w:rPr>
        <w:t>Labour</w:t>
      </w:r>
      <w:proofErr w:type="spellEnd"/>
      <w:r w:rsidRPr="00326BDD">
        <w:rPr>
          <w:rFonts w:ascii="Calibri" w:hAnsi="Calibri" w:cs="Calibri"/>
        </w:rPr>
        <w:t xml:space="preserve"> and</w:t>
      </w:r>
      <w:r>
        <w:rPr>
          <w:rFonts w:ascii="Calibri" w:hAnsi="Calibri" w:cs="Calibri"/>
        </w:rPr>
        <w:t xml:space="preserve"> </w:t>
      </w:r>
      <w:r w:rsidRPr="00326BDD">
        <w:rPr>
          <w:rFonts w:ascii="Calibri" w:hAnsi="Calibri" w:cs="Calibri"/>
        </w:rPr>
        <w:t>Working Conditions</w:t>
      </w:r>
      <w:r>
        <w:rPr>
          <w:rFonts w:ascii="Calibri" w:hAnsi="Calibri" w:cs="Calibri"/>
        </w:rPr>
        <w:t xml:space="preserve">. </w:t>
      </w:r>
      <w:r w:rsidRPr="00326BDD">
        <w:rPr>
          <w:rFonts w:ascii="Calibri" w:hAnsi="Calibri" w:cs="Calibri"/>
        </w:rPr>
        <w:t xml:space="preserve">It is important to note the LMP </w:t>
      </w:r>
      <w:r w:rsidR="00473857">
        <w:rPr>
          <w:rFonts w:ascii="Calibri" w:hAnsi="Calibri" w:cs="Calibri"/>
        </w:rPr>
        <w:t>is</w:t>
      </w:r>
      <w:r w:rsidRPr="00326BDD">
        <w:rPr>
          <w:rFonts w:ascii="Calibri" w:hAnsi="Calibri" w:cs="Calibri"/>
        </w:rPr>
        <w:t xml:space="preserve"> a liv</w:t>
      </w:r>
      <w:r>
        <w:rPr>
          <w:rFonts w:ascii="Calibri" w:hAnsi="Calibri" w:cs="Calibri"/>
        </w:rPr>
        <w:t xml:space="preserve">ing </w:t>
      </w:r>
      <w:r w:rsidRPr="00326BDD">
        <w:rPr>
          <w:rFonts w:ascii="Calibri" w:hAnsi="Calibri" w:cs="Calibri"/>
        </w:rPr>
        <w:t>document</w:t>
      </w:r>
      <w:r>
        <w:rPr>
          <w:rFonts w:ascii="Calibri" w:hAnsi="Calibri" w:cs="Calibri"/>
        </w:rPr>
        <w:t xml:space="preserve"> and</w:t>
      </w:r>
      <w:r w:rsidRPr="00326BDD">
        <w:rPr>
          <w:rFonts w:ascii="Calibri" w:hAnsi="Calibri" w:cs="Calibri"/>
        </w:rPr>
        <w:t xml:space="preserve"> can be updated to meet the demands of the project.</w:t>
      </w:r>
    </w:p>
    <w:p w14:paraId="76084EE9" w14:textId="563753F4" w:rsidR="00E12521" w:rsidRDefault="00E12521" w:rsidP="00E12521">
      <w:pPr>
        <w:spacing w:after="0"/>
        <w:rPr>
          <w:color w:val="000000"/>
        </w:rPr>
      </w:pPr>
      <w:r>
        <w:rPr>
          <w:color w:val="000000"/>
        </w:rPr>
        <w:t xml:space="preserve">The LMP is applicable to all project workers, whether full-time, </w:t>
      </w:r>
      <w:proofErr w:type="gramStart"/>
      <w:r>
        <w:rPr>
          <w:color w:val="000000"/>
        </w:rPr>
        <w:t>part-time</w:t>
      </w:r>
      <w:proofErr w:type="gramEnd"/>
      <w:r>
        <w:rPr>
          <w:color w:val="000000"/>
        </w:rPr>
        <w:t xml:space="preserve"> or temporary. This section </w:t>
      </w:r>
      <w:r w:rsidRPr="005436F3">
        <w:rPr>
          <w:color w:val="000000"/>
        </w:rPr>
        <w:t xml:space="preserve">describes the </w:t>
      </w:r>
      <w:r>
        <w:rPr>
          <w:color w:val="000000"/>
        </w:rPr>
        <w:t>project’s labor requirements, based on available information.</w:t>
      </w:r>
    </w:p>
    <w:p w14:paraId="239C9CDF" w14:textId="4A3AD9B3" w:rsidR="009C55A3" w:rsidRDefault="009C55A3" w:rsidP="00E12521">
      <w:pPr>
        <w:spacing w:after="0"/>
        <w:rPr>
          <w:color w:val="000000"/>
        </w:rPr>
      </w:pPr>
    </w:p>
    <w:p w14:paraId="4EBE74D4" w14:textId="70FBBD37" w:rsidR="009C55A3" w:rsidRPr="00D84B6B" w:rsidRDefault="00D109B5" w:rsidP="00D84B6B">
      <w:pPr>
        <w:pStyle w:val="Heading2"/>
        <w:ind w:left="360"/>
        <w:rPr>
          <w:i w:val="0"/>
          <w:iCs/>
        </w:rPr>
      </w:pPr>
      <w:bookmarkStart w:id="19" w:name="_Toc77191094"/>
      <w:r w:rsidRPr="00D84B6B">
        <w:rPr>
          <w:i w:val="0"/>
          <w:iCs/>
        </w:rPr>
        <w:t xml:space="preserve">8.1 </w:t>
      </w:r>
      <w:r w:rsidR="00A017C1" w:rsidRPr="00D84B6B">
        <w:rPr>
          <w:i w:val="0"/>
          <w:iCs/>
        </w:rPr>
        <w:t xml:space="preserve">Direct </w:t>
      </w:r>
      <w:r w:rsidR="009C55A3" w:rsidRPr="00D84B6B">
        <w:rPr>
          <w:i w:val="0"/>
          <w:iCs/>
        </w:rPr>
        <w:t>Project Workers</w:t>
      </w:r>
      <w:bookmarkEnd w:id="19"/>
    </w:p>
    <w:p w14:paraId="192D2DFE" w14:textId="3C5381D7" w:rsidR="00E12521" w:rsidRDefault="00E12521" w:rsidP="00E12521">
      <w:pPr>
        <w:spacing w:after="0"/>
      </w:pPr>
      <w:r>
        <w:t>The project will employ local</w:t>
      </w:r>
      <w:r w:rsidR="00EE7CF4">
        <w:t>ly</w:t>
      </w:r>
      <w:r w:rsidR="005A7EC5">
        <w:t xml:space="preserve"> </w:t>
      </w:r>
      <w:r w:rsidR="00EE7CF4">
        <w:t>based</w:t>
      </w:r>
      <w:r>
        <w:t xml:space="preserve"> workers from each of the implementing countries. It is expected that these workers will mainly be females over the age of eighteen. It is not anticipated that the project will employ any migrant workers. </w:t>
      </w:r>
      <w:r w:rsidR="00A017C1">
        <w:t xml:space="preserve">There will be seven direct project workers. </w:t>
      </w:r>
      <w:r>
        <w:t xml:space="preserve">The breakdown of </w:t>
      </w:r>
      <w:r w:rsidR="00A017C1">
        <w:t xml:space="preserve">direct </w:t>
      </w:r>
      <w:r>
        <w:t xml:space="preserve">project workers is as follows in </w:t>
      </w:r>
      <w:r w:rsidRPr="000145D8">
        <w:rPr>
          <w:b/>
          <w:bCs/>
        </w:rPr>
        <w:t xml:space="preserve">Table </w:t>
      </w:r>
      <w:r w:rsidR="00A017C1">
        <w:rPr>
          <w:b/>
          <w:bCs/>
        </w:rPr>
        <w:t>8</w:t>
      </w:r>
      <w:r w:rsidRPr="000145D8">
        <w:rPr>
          <w:b/>
          <w:bCs/>
        </w:rPr>
        <w:t>.</w:t>
      </w:r>
      <w:r w:rsidR="00A017C1">
        <w:rPr>
          <w:b/>
          <w:bCs/>
        </w:rPr>
        <w:t>1</w:t>
      </w:r>
      <w:r>
        <w:t xml:space="preserve">: </w:t>
      </w:r>
    </w:p>
    <w:p w14:paraId="75F6445E" w14:textId="77777777" w:rsidR="00881B48" w:rsidRDefault="00881B48" w:rsidP="00E12521">
      <w:pPr>
        <w:spacing w:after="0"/>
      </w:pPr>
    </w:p>
    <w:p w14:paraId="1BBB3706" w14:textId="0E8A4820" w:rsidR="00881B48" w:rsidRPr="000145D8" w:rsidRDefault="00881B48" w:rsidP="001F2D19">
      <w:pPr>
        <w:pStyle w:val="Heading1"/>
        <w:numPr>
          <w:ilvl w:val="0"/>
          <w:numId w:val="0"/>
        </w:numPr>
      </w:pPr>
      <w:bookmarkStart w:id="20" w:name="_Toc49946088"/>
      <w:bookmarkStart w:id="21" w:name="_Toc77191095"/>
      <w:r w:rsidRPr="000145D8">
        <w:t xml:space="preserve">Table </w:t>
      </w:r>
      <w:r w:rsidR="00D109B5">
        <w:t>8.1</w:t>
      </w:r>
      <w:r w:rsidRPr="000145D8">
        <w:t xml:space="preserve">: </w:t>
      </w:r>
      <w:bookmarkEnd w:id="20"/>
      <w:bookmarkEnd w:id="21"/>
      <w:r w:rsidR="00B9410E">
        <w:t>Project staff</w:t>
      </w:r>
    </w:p>
    <w:tbl>
      <w:tblPr>
        <w:tblStyle w:val="TableGrid"/>
        <w:tblW w:w="0" w:type="auto"/>
        <w:tblLook w:val="04A0" w:firstRow="1" w:lastRow="0" w:firstColumn="1" w:lastColumn="0" w:noHBand="0" w:noVBand="1"/>
      </w:tblPr>
      <w:tblGrid>
        <w:gridCol w:w="2080"/>
        <w:gridCol w:w="1681"/>
        <w:gridCol w:w="1117"/>
        <w:gridCol w:w="1663"/>
        <w:gridCol w:w="1701"/>
        <w:gridCol w:w="1108"/>
      </w:tblGrid>
      <w:tr w:rsidR="00D109B5" w:rsidRPr="00142821" w14:paraId="1F1F994C" w14:textId="3E145755" w:rsidTr="00D109B5">
        <w:trPr>
          <w:trHeight w:val="552"/>
        </w:trPr>
        <w:tc>
          <w:tcPr>
            <w:tcW w:w="2080" w:type="dxa"/>
            <w:shd w:val="clear" w:color="auto" w:fill="4472C4" w:themeFill="accent1"/>
          </w:tcPr>
          <w:p w14:paraId="783AB027" w14:textId="39D368C0" w:rsidR="00D109B5" w:rsidRPr="00CF4B95" w:rsidRDefault="00D109B5" w:rsidP="00456455">
            <w:pPr>
              <w:rPr>
                <w:b/>
                <w:bCs/>
                <w:color w:val="FFFFFF" w:themeColor="background1"/>
              </w:rPr>
            </w:pPr>
            <w:r>
              <w:rPr>
                <w:b/>
                <w:bCs/>
                <w:color w:val="FFFFFF" w:themeColor="background1"/>
              </w:rPr>
              <w:t>Position</w:t>
            </w:r>
          </w:p>
        </w:tc>
        <w:tc>
          <w:tcPr>
            <w:tcW w:w="1681" w:type="dxa"/>
            <w:shd w:val="clear" w:color="auto" w:fill="4472C4" w:themeFill="accent1"/>
          </w:tcPr>
          <w:p w14:paraId="7E84B33D" w14:textId="0D4EFEBD" w:rsidR="00D109B5" w:rsidRPr="00CF4B95" w:rsidRDefault="00D109B5" w:rsidP="00456455">
            <w:pPr>
              <w:rPr>
                <w:b/>
                <w:bCs/>
                <w:color w:val="FFFFFF" w:themeColor="background1"/>
              </w:rPr>
            </w:pPr>
            <w:r>
              <w:rPr>
                <w:b/>
                <w:bCs/>
                <w:color w:val="FFFFFF" w:themeColor="background1"/>
              </w:rPr>
              <w:t>Jurisdiction</w:t>
            </w:r>
          </w:p>
        </w:tc>
        <w:tc>
          <w:tcPr>
            <w:tcW w:w="1117" w:type="dxa"/>
            <w:shd w:val="clear" w:color="auto" w:fill="4472C4" w:themeFill="accent1"/>
          </w:tcPr>
          <w:p w14:paraId="43DD1ABA" w14:textId="77777777" w:rsidR="00D109B5" w:rsidRPr="00CF4B95" w:rsidRDefault="00D109B5" w:rsidP="00456455">
            <w:pPr>
              <w:rPr>
                <w:b/>
                <w:bCs/>
                <w:color w:val="FFFFFF" w:themeColor="background1"/>
              </w:rPr>
            </w:pPr>
            <w:r w:rsidRPr="00CF4B95">
              <w:rPr>
                <w:b/>
                <w:bCs/>
                <w:color w:val="FFFFFF" w:themeColor="background1"/>
              </w:rPr>
              <w:t>Number of workers</w:t>
            </w:r>
          </w:p>
        </w:tc>
        <w:tc>
          <w:tcPr>
            <w:tcW w:w="1663" w:type="dxa"/>
            <w:shd w:val="clear" w:color="auto" w:fill="4472C4" w:themeFill="accent1"/>
          </w:tcPr>
          <w:p w14:paraId="14573D3F" w14:textId="77777777" w:rsidR="00D109B5" w:rsidRPr="00CF4B95" w:rsidRDefault="00D109B5" w:rsidP="00456455">
            <w:pPr>
              <w:rPr>
                <w:b/>
                <w:bCs/>
                <w:color w:val="FFFFFF" w:themeColor="background1"/>
              </w:rPr>
            </w:pPr>
            <w:r w:rsidRPr="00CF4B95">
              <w:rPr>
                <w:b/>
                <w:bCs/>
                <w:color w:val="FFFFFF" w:themeColor="background1"/>
              </w:rPr>
              <w:t xml:space="preserve">Timing of worker engagement </w:t>
            </w:r>
          </w:p>
        </w:tc>
        <w:tc>
          <w:tcPr>
            <w:tcW w:w="1701" w:type="dxa"/>
            <w:shd w:val="clear" w:color="auto" w:fill="4472C4" w:themeFill="accent1"/>
          </w:tcPr>
          <w:p w14:paraId="71D54E09" w14:textId="13C015C0" w:rsidR="00D109B5" w:rsidRPr="000145D8" w:rsidRDefault="00D109B5" w:rsidP="00456455">
            <w:pPr>
              <w:jc w:val="both"/>
              <w:rPr>
                <w:b/>
                <w:bCs/>
                <w:iCs/>
                <w:color w:val="FFFFFF" w:themeColor="background1"/>
              </w:rPr>
            </w:pPr>
            <w:r>
              <w:rPr>
                <w:b/>
                <w:iCs/>
                <w:color w:val="FFFFFF" w:themeColor="background1"/>
              </w:rPr>
              <w:t>Status</w:t>
            </w:r>
          </w:p>
        </w:tc>
        <w:tc>
          <w:tcPr>
            <w:tcW w:w="1108" w:type="dxa"/>
            <w:shd w:val="clear" w:color="auto" w:fill="4472C4" w:themeFill="accent1"/>
          </w:tcPr>
          <w:p w14:paraId="2D673D55" w14:textId="150749AB" w:rsidR="00D109B5" w:rsidRDefault="00D109B5" w:rsidP="00456455">
            <w:pPr>
              <w:jc w:val="both"/>
              <w:rPr>
                <w:b/>
                <w:iCs/>
                <w:color w:val="FFFFFF" w:themeColor="background1"/>
              </w:rPr>
            </w:pPr>
            <w:r>
              <w:rPr>
                <w:b/>
                <w:iCs/>
                <w:color w:val="FFFFFF" w:themeColor="background1"/>
              </w:rPr>
              <w:t>Sex</w:t>
            </w:r>
          </w:p>
        </w:tc>
      </w:tr>
      <w:tr w:rsidR="00D109B5" w14:paraId="7108FA23" w14:textId="6CA8BD78" w:rsidTr="00D109B5">
        <w:tc>
          <w:tcPr>
            <w:tcW w:w="2080" w:type="dxa"/>
          </w:tcPr>
          <w:p w14:paraId="1A48ACFD" w14:textId="77777777" w:rsidR="00D109B5" w:rsidRDefault="00D109B5" w:rsidP="00456455">
            <w:r>
              <w:t>Project Manager</w:t>
            </w:r>
          </w:p>
        </w:tc>
        <w:tc>
          <w:tcPr>
            <w:tcW w:w="1681" w:type="dxa"/>
          </w:tcPr>
          <w:p w14:paraId="7121181C" w14:textId="77777777" w:rsidR="00D109B5" w:rsidRDefault="00D109B5" w:rsidP="00456455">
            <w:r>
              <w:t>Dominican Republic (DR)</w:t>
            </w:r>
          </w:p>
        </w:tc>
        <w:tc>
          <w:tcPr>
            <w:tcW w:w="1117" w:type="dxa"/>
          </w:tcPr>
          <w:p w14:paraId="1DA6DED6" w14:textId="77777777" w:rsidR="00D109B5" w:rsidRDefault="00D109B5" w:rsidP="00456455">
            <w:r>
              <w:t>1</w:t>
            </w:r>
          </w:p>
        </w:tc>
        <w:tc>
          <w:tcPr>
            <w:tcW w:w="1663" w:type="dxa"/>
          </w:tcPr>
          <w:p w14:paraId="25BF8A8A" w14:textId="197964C3" w:rsidR="00D109B5" w:rsidRDefault="00D109B5" w:rsidP="00456455">
            <w:r>
              <w:t>August 2021 to July 2025</w:t>
            </w:r>
          </w:p>
        </w:tc>
        <w:tc>
          <w:tcPr>
            <w:tcW w:w="1701" w:type="dxa"/>
          </w:tcPr>
          <w:p w14:paraId="40329EF5" w14:textId="462C9800" w:rsidR="00D109B5" w:rsidRDefault="00D109B5" w:rsidP="00456455">
            <w:r>
              <w:t>National worker</w:t>
            </w:r>
          </w:p>
        </w:tc>
        <w:tc>
          <w:tcPr>
            <w:tcW w:w="1108" w:type="dxa"/>
          </w:tcPr>
          <w:p w14:paraId="20798B66" w14:textId="22819AA2" w:rsidR="00D109B5" w:rsidRDefault="00D109B5" w:rsidP="00456455">
            <w:r>
              <w:t>Female</w:t>
            </w:r>
          </w:p>
        </w:tc>
      </w:tr>
      <w:tr w:rsidR="00D109B5" w14:paraId="3085D717" w14:textId="71E5839F" w:rsidTr="00D109B5">
        <w:tc>
          <w:tcPr>
            <w:tcW w:w="2080" w:type="dxa"/>
          </w:tcPr>
          <w:p w14:paraId="00710874" w14:textId="77777777" w:rsidR="00D109B5" w:rsidRDefault="00D109B5" w:rsidP="00D109B5">
            <w:r>
              <w:t>Project Manager</w:t>
            </w:r>
          </w:p>
        </w:tc>
        <w:tc>
          <w:tcPr>
            <w:tcW w:w="1681" w:type="dxa"/>
          </w:tcPr>
          <w:p w14:paraId="0B5E07CF" w14:textId="77777777" w:rsidR="00D109B5" w:rsidRDefault="00D109B5" w:rsidP="00D109B5">
            <w:r>
              <w:t>Antigua and Barbuda (A/B)</w:t>
            </w:r>
          </w:p>
        </w:tc>
        <w:tc>
          <w:tcPr>
            <w:tcW w:w="1117" w:type="dxa"/>
          </w:tcPr>
          <w:p w14:paraId="315E567C" w14:textId="77777777" w:rsidR="00D109B5" w:rsidRDefault="00D109B5" w:rsidP="00D109B5">
            <w:r>
              <w:t>1</w:t>
            </w:r>
          </w:p>
        </w:tc>
        <w:tc>
          <w:tcPr>
            <w:tcW w:w="1663" w:type="dxa"/>
          </w:tcPr>
          <w:p w14:paraId="0B28A090" w14:textId="348CBEC6" w:rsidR="00D109B5" w:rsidRDefault="00D109B5" w:rsidP="00D109B5">
            <w:r>
              <w:t>August 2021 to July 2025</w:t>
            </w:r>
          </w:p>
        </w:tc>
        <w:tc>
          <w:tcPr>
            <w:tcW w:w="1701" w:type="dxa"/>
          </w:tcPr>
          <w:p w14:paraId="30A47769" w14:textId="4ADAD5E9" w:rsidR="00D109B5" w:rsidRDefault="00D109B5" w:rsidP="00D109B5">
            <w:r>
              <w:t>National worker</w:t>
            </w:r>
          </w:p>
        </w:tc>
        <w:tc>
          <w:tcPr>
            <w:tcW w:w="1108" w:type="dxa"/>
          </w:tcPr>
          <w:p w14:paraId="0CF7541D" w14:textId="4BAF0245" w:rsidR="00D109B5" w:rsidRDefault="005A7EC5" w:rsidP="00D109B5">
            <w:r>
              <w:t>Female</w:t>
            </w:r>
          </w:p>
        </w:tc>
      </w:tr>
      <w:tr w:rsidR="00D109B5" w14:paraId="34B85D7B" w14:textId="07629F00" w:rsidTr="00D109B5">
        <w:tc>
          <w:tcPr>
            <w:tcW w:w="2080" w:type="dxa"/>
          </w:tcPr>
          <w:p w14:paraId="19996AAE" w14:textId="34E66DE8" w:rsidR="00D109B5" w:rsidRDefault="005277B6" w:rsidP="00D109B5">
            <w:r>
              <w:t xml:space="preserve">Environment and </w:t>
            </w:r>
            <w:r w:rsidR="00D109B5">
              <w:t>Climate Change Specialist</w:t>
            </w:r>
          </w:p>
        </w:tc>
        <w:tc>
          <w:tcPr>
            <w:tcW w:w="1681" w:type="dxa"/>
          </w:tcPr>
          <w:p w14:paraId="2D9E64D3" w14:textId="77777777" w:rsidR="00D109B5" w:rsidRDefault="00D109B5" w:rsidP="00D109B5">
            <w:r>
              <w:t>Dominican Republic</w:t>
            </w:r>
          </w:p>
        </w:tc>
        <w:tc>
          <w:tcPr>
            <w:tcW w:w="1117" w:type="dxa"/>
          </w:tcPr>
          <w:p w14:paraId="308EB90C" w14:textId="77777777" w:rsidR="00D109B5" w:rsidRDefault="00D109B5" w:rsidP="00D109B5">
            <w:r>
              <w:t>1</w:t>
            </w:r>
          </w:p>
        </w:tc>
        <w:tc>
          <w:tcPr>
            <w:tcW w:w="1663" w:type="dxa"/>
          </w:tcPr>
          <w:p w14:paraId="6E5DE101" w14:textId="362795FB" w:rsidR="00D109B5" w:rsidRDefault="00D109B5" w:rsidP="00D109B5">
            <w:r>
              <w:t>August 2021 to July 2025</w:t>
            </w:r>
          </w:p>
        </w:tc>
        <w:tc>
          <w:tcPr>
            <w:tcW w:w="1701" w:type="dxa"/>
          </w:tcPr>
          <w:p w14:paraId="228DCB2E" w14:textId="0A43DEFF" w:rsidR="00D109B5" w:rsidRDefault="00D109B5" w:rsidP="00D109B5">
            <w:r>
              <w:t>National worker</w:t>
            </w:r>
          </w:p>
        </w:tc>
        <w:tc>
          <w:tcPr>
            <w:tcW w:w="1108" w:type="dxa"/>
          </w:tcPr>
          <w:p w14:paraId="6D7A7AE5" w14:textId="13F6F5FF" w:rsidR="00D109B5" w:rsidRDefault="005A7EC5" w:rsidP="00D109B5">
            <w:r>
              <w:t>Female</w:t>
            </w:r>
          </w:p>
        </w:tc>
      </w:tr>
      <w:tr w:rsidR="00D109B5" w14:paraId="3F6D4CD8" w14:textId="0EC9905E" w:rsidTr="00D109B5">
        <w:tc>
          <w:tcPr>
            <w:tcW w:w="2080" w:type="dxa"/>
          </w:tcPr>
          <w:p w14:paraId="1FE71340" w14:textId="54EA2BDA" w:rsidR="00D109B5" w:rsidRDefault="00D109B5" w:rsidP="00D109B5">
            <w:r>
              <w:t xml:space="preserve">Gender, Youth and Minority Specialist </w:t>
            </w:r>
          </w:p>
          <w:p w14:paraId="7EDA3060" w14:textId="77777777" w:rsidR="00D109B5" w:rsidRPr="00C6400B" w:rsidRDefault="00D109B5" w:rsidP="00D109B5">
            <w:pPr>
              <w:ind w:firstLine="720"/>
            </w:pPr>
          </w:p>
        </w:tc>
        <w:tc>
          <w:tcPr>
            <w:tcW w:w="1681" w:type="dxa"/>
          </w:tcPr>
          <w:p w14:paraId="137EC093" w14:textId="77777777" w:rsidR="00D109B5" w:rsidRDefault="00D109B5" w:rsidP="00D109B5">
            <w:r>
              <w:t>Dominican Republic</w:t>
            </w:r>
          </w:p>
        </w:tc>
        <w:tc>
          <w:tcPr>
            <w:tcW w:w="1117" w:type="dxa"/>
          </w:tcPr>
          <w:p w14:paraId="00AE77E3" w14:textId="77777777" w:rsidR="00D109B5" w:rsidRDefault="00D109B5" w:rsidP="00D109B5">
            <w:r>
              <w:t>1</w:t>
            </w:r>
          </w:p>
        </w:tc>
        <w:tc>
          <w:tcPr>
            <w:tcW w:w="1663" w:type="dxa"/>
          </w:tcPr>
          <w:p w14:paraId="4039E095" w14:textId="479CE5DC" w:rsidR="00D109B5" w:rsidRDefault="00D109B5" w:rsidP="00D109B5">
            <w:r>
              <w:t>August 2021 to July 2025</w:t>
            </w:r>
          </w:p>
        </w:tc>
        <w:tc>
          <w:tcPr>
            <w:tcW w:w="1701" w:type="dxa"/>
          </w:tcPr>
          <w:p w14:paraId="791BED58" w14:textId="2C40A88A" w:rsidR="00D109B5" w:rsidRDefault="00D109B5" w:rsidP="00D109B5">
            <w:r>
              <w:t>National worker</w:t>
            </w:r>
          </w:p>
        </w:tc>
        <w:tc>
          <w:tcPr>
            <w:tcW w:w="1108" w:type="dxa"/>
          </w:tcPr>
          <w:p w14:paraId="65B40C49" w14:textId="044804D1" w:rsidR="00D109B5" w:rsidRDefault="005A7EC5" w:rsidP="00D109B5">
            <w:pPr>
              <w:rPr>
                <w:color w:val="000000"/>
              </w:rPr>
            </w:pPr>
            <w:r>
              <w:t>Female</w:t>
            </w:r>
          </w:p>
        </w:tc>
      </w:tr>
      <w:tr w:rsidR="00D109B5" w14:paraId="4BC7B51D" w14:textId="474837D1" w:rsidTr="00D109B5">
        <w:tc>
          <w:tcPr>
            <w:tcW w:w="2080" w:type="dxa"/>
          </w:tcPr>
          <w:p w14:paraId="5F29C851" w14:textId="51EF1610" w:rsidR="00D109B5" w:rsidRDefault="00D109B5" w:rsidP="00D109B5">
            <w:r>
              <w:t>Climate Change and Social Specialist/M&amp;E</w:t>
            </w:r>
          </w:p>
        </w:tc>
        <w:tc>
          <w:tcPr>
            <w:tcW w:w="1681" w:type="dxa"/>
          </w:tcPr>
          <w:p w14:paraId="60F6C110" w14:textId="77777777" w:rsidR="00D109B5" w:rsidRDefault="00D109B5" w:rsidP="00D109B5">
            <w:r>
              <w:t>Antigua and Barbuda</w:t>
            </w:r>
          </w:p>
        </w:tc>
        <w:tc>
          <w:tcPr>
            <w:tcW w:w="1117" w:type="dxa"/>
          </w:tcPr>
          <w:p w14:paraId="75596364" w14:textId="77777777" w:rsidR="00D109B5" w:rsidRDefault="00D109B5" w:rsidP="00D109B5">
            <w:r>
              <w:t>1</w:t>
            </w:r>
          </w:p>
        </w:tc>
        <w:tc>
          <w:tcPr>
            <w:tcW w:w="1663" w:type="dxa"/>
          </w:tcPr>
          <w:p w14:paraId="0146F8B4" w14:textId="30B1548D" w:rsidR="00D109B5" w:rsidRDefault="00D109B5" w:rsidP="00D109B5">
            <w:r>
              <w:t>August 2021 to July 2025</w:t>
            </w:r>
          </w:p>
        </w:tc>
        <w:tc>
          <w:tcPr>
            <w:tcW w:w="1701" w:type="dxa"/>
          </w:tcPr>
          <w:p w14:paraId="1ABFD128" w14:textId="539BD815" w:rsidR="00D109B5" w:rsidRDefault="00D109B5" w:rsidP="00D109B5">
            <w:r>
              <w:t>National worker</w:t>
            </w:r>
          </w:p>
        </w:tc>
        <w:tc>
          <w:tcPr>
            <w:tcW w:w="1108" w:type="dxa"/>
          </w:tcPr>
          <w:p w14:paraId="38922AF6" w14:textId="3232FE52" w:rsidR="00D109B5" w:rsidRDefault="005A7EC5" w:rsidP="005A7EC5">
            <w:pPr>
              <w:jc w:val="both"/>
            </w:pPr>
            <w:r>
              <w:t>Male</w:t>
            </w:r>
          </w:p>
        </w:tc>
      </w:tr>
      <w:tr w:rsidR="00D109B5" w14:paraId="08BD4440" w14:textId="7B8EA8C8" w:rsidTr="00D109B5">
        <w:tc>
          <w:tcPr>
            <w:tcW w:w="2080" w:type="dxa"/>
          </w:tcPr>
          <w:p w14:paraId="71E883FD" w14:textId="25A19B7B" w:rsidR="00D109B5" w:rsidRDefault="00D109B5" w:rsidP="00D109B5">
            <w:r>
              <w:t>L</w:t>
            </w:r>
            <w:r w:rsidRPr="00D765B7">
              <w:t>ocal M&amp;E</w:t>
            </w:r>
            <w:r>
              <w:t>/Administration</w:t>
            </w:r>
          </w:p>
        </w:tc>
        <w:tc>
          <w:tcPr>
            <w:tcW w:w="1681" w:type="dxa"/>
          </w:tcPr>
          <w:p w14:paraId="001C7DF8" w14:textId="77777777" w:rsidR="00D109B5" w:rsidRDefault="00D109B5" w:rsidP="00D109B5">
            <w:r>
              <w:t>Dominican Republic</w:t>
            </w:r>
          </w:p>
        </w:tc>
        <w:tc>
          <w:tcPr>
            <w:tcW w:w="1117" w:type="dxa"/>
          </w:tcPr>
          <w:p w14:paraId="60194CB6" w14:textId="77777777" w:rsidR="00D109B5" w:rsidRDefault="00D109B5" w:rsidP="00D109B5">
            <w:r>
              <w:t>1</w:t>
            </w:r>
          </w:p>
        </w:tc>
        <w:tc>
          <w:tcPr>
            <w:tcW w:w="1663" w:type="dxa"/>
          </w:tcPr>
          <w:p w14:paraId="45A0D61C" w14:textId="04F70F48" w:rsidR="00D109B5" w:rsidRDefault="00D109B5" w:rsidP="00D109B5">
            <w:r>
              <w:t>August 2021 to July 2025</w:t>
            </w:r>
          </w:p>
        </w:tc>
        <w:tc>
          <w:tcPr>
            <w:tcW w:w="1701" w:type="dxa"/>
          </w:tcPr>
          <w:p w14:paraId="4642B8ED" w14:textId="1EB6142F" w:rsidR="00D109B5" w:rsidRDefault="00D109B5" w:rsidP="00D109B5">
            <w:r>
              <w:t>National worker</w:t>
            </w:r>
          </w:p>
        </w:tc>
        <w:tc>
          <w:tcPr>
            <w:tcW w:w="1108" w:type="dxa"/>
          </w:tcPr>
          <w:p w14:paraId="2AEDED61" w14:textId="206848F9" w:rsidR="00D109B5" w:rsidRDefault="00F72CDA" w:rsidP="00D109B5">
            <w:pPr>
              <w:rPr>
                <w:color w:val="000000"/>
              </w:rPr>
            </w:pPr>
            <w:r>
              <w:t>TBD</w:t>
            </w:r>
          </w:p>
        </w:tc>
      </w:tr>
      <w:tr w:rsidR="00D109B5" w14:paraId="5C5169ED" w14:textId="04B86B4C" w:rsidTr="00D109B5">
        <w:tc>
          <w:tcPr>
            <w:tcW w:w="2080" w:type="dxa"/>
          </w:tcPr>
          <w:p w14:paraId="5FF01128" w14:textId="7BD23841" w:rsidR="00D109B5" w:rsidRDefault="00D109B5" w:rsidP="00D109B5">
            <w:r>
              <w:t>Administration</w:t>
            </w:r>
          </w:p>
        </w:tc>
        <w:tc>
          <w:tcPr>
            <w:tcW w:w="1681" w:type="dxa"/>
          </w:tcPr>
          <w:p w14:paraId="17CF176E" w14:textId="77777777" w:rsidR="00D109B5" w:rsidRDefault="00D109B5" w:rsidP="00D109B5">
            <w:r>
              <w:t xml:space="preserve">Antigua and Barbuda </w:t>
            </w:r>
          </w:p>
        </w:tc>
        <w:tc>
          <w:tcPr>
            <w:tcW w:w="1117" w:type="dxa"/>
          </w:tcPr>
          <w:p w14:paraId="7EC2A003" w14:textId="77777777" w:rsidR="00D109B5" w:rsidRDefault="00D109B5" w:rsidP="00D109B5">
            <w:r>
              <w:t>1</w:t>
            </w:r>
          </w:p>
        </w:tc>
        <w:tc>
          <w:tcPr>
            <w:tcW w:w="1663" w:type="dxa"/>
          </w:tcPr>
          <w:p w14:paraId="0B81971E" w14:textId="6C29A9F2" w:rsidR="00D109B5" w:rsidRDefault="00D109B5" w:rsidP="00D109B5">
            <w:r>
              <w:t>August 2021 to July 2025</w:t>
            </w:r>
          </w:p>
        </w:tc>
        <w:tc>
          <w:tcPr>
            <w:tcW w:w="1701" w:type="dxa"/>
          </w:tcPr>
          <w:p w14:paraId="058F0F7A" w14:textId="3C71BCBA" w:rsidR="00D109B5" w:rsidRDefault="00D109B5" w:rsidP="00D109B5">
            <w:r>
              <w:t>National worker</w:t>
            </w:r>
          </w:p>
        </w:tc>
        <w:tc>
          <w:tcPr>
            <w:tcW w:w="1108" w:type="dxa"/>
          </w:tcPr>
          <w:p w14:paraId="31F8F9E8" w14:textId="06DB7025" w:rsidR="00D109B5" w:rsidRDefault="005A7EC5" w:rsidP="00D109B5">
            <w:pPr>
              <w:rPr>
                <w:color w:val="000000"/>
              </w:rPr>
            </w:pPr>
            <w:r>
              <w:t>Female</w:t>
            </w:r>
          </w:p>
        </w:tc>
      </w:tr>
      <w:tr w:rsidR="00D109B5" w14:paraId="3EEF0752" w14:textId="3AE3439A" w:rsidTr="00D109B5">
        <w:tc>
          <w:tcPr>
            <w:tcW w:w="2080" w:type="dxa"/>
            <w:shd w:val="clear" w:color="auto" w:fill="D9E2F3" w:themeFill="accent1" w:themeFillTint="33"/>
          </w:tcPr>
          <w:p w14:paraId="4ABAD4C7" w14:textId="6B02B30D" w:rsidR="00D109B5" w:rsidRPr="00B64BB3" w:rsidRDefault="00D109B5" w:rsidP="00D109B5">
            <w:pPr>
              <w:tabs>
                <w:tab w:val="right" w:pos="1865"/>
              </w:tabs>
              <w:rPr>
                <w:b/>
                <w:bCs/>
              </w:rPr>
            </w:pPr>
            <w:r>
              <w:rPr>
                <w:b/>
                <w:bCs/>
              </w:rPr>
              <w:t>Total</w:t>
            </w:r>
            <w:r>
              <w:rPr>
                <w:b/>
                <w:bCs/>
              </w:rPr>
              <w:tab/>
            </w:r>
          </w:p>
        </w:tc>
        <w:tc>
          <w:tcPr>
            <w:tcW w:w="1681" w:type="dxa"/>
            <w:shd w:val="clear" w:color="auto" w:fill="D9E2F3" w:themeFill="accent1" w:themeFillTint="33"/>
          </w:tcPr>
          <w:p w14:paraId="7C81A797" w14:textId="77777777" w:rsidR="00D109B5" w:rsidRDefault="00D109B5" w:rsidP="00D109B5"/>
        </w:tc>
        <w:tc>
          <w:tcPr>
            <w:tcW w:w="1117" w:type="dxa"/>
            <w:shd w:val="clear" w:color="auto" w:fill="D9E2F3" w:themeFill="accent1" w:themeFillTint="33"/>
          </w:tcPr>
          <w:p w14:paraId="15073728" w14:textId="3E862527" w:rsidR="00D109B5" w:rsidRPr="00B64BB3" w:rsidRDefault="00A017C1" w:rsidP="00D109B5">
            <w:pPr>
              <w:rPr>
                <w:b/>
                <w:bCs/>
              </w:rPr>
            </w:pPr>
            <w:r>
              <w:rPr>
                <w:b/>
                <w:bCs/>
              </w:rPr>
              <w:t>7</w:t>
            </w:r>
          </w:p>
        </w:tc>
        <w:tc>
          <w:tcPr>
            <w:tcW w:w="1663" w:type="dxa"/>
            <w:shd w:val="clear" w:color="auto" w:fill="D9E2F3" w:themeFill="accent1" w:themeFillTint="33"/>
          </w:tcPr>
          <w:p w14:paraId="50DBB134" w14:textId="77777777" w:rsidR="00D109B5" w:rsidRDefault="00D109B5" w:rsidP="00D109B5"/>
        </w:tc>
        <w:tc>
          <w:tcPr>
            <w:tcW w:w="1701" w:type="dxa"/>
            <w:shd w:val="clear" w:color="auto" w:fill="D9E2F3" w:themeFill="accent1" w:themeFillTint="33"/>
          </w:tcPr>
          <w:p w14:paraId="1729F029" w14:textId="77777777" w:rsidR="00D109B5" w:rsidRDefault="00D109B5" w:rsidP="00D109B5"/>
        </w:tc>
        <w:tc>
          <w:tcPr>
            <w:tcW w:w="1108" w:type="dxa"/>
            <w:shd w:val="clear" w:color="auto" w:fill="D9E2F3" w:themeFill="accent1" w:themeFillTint="33"/>
          </w:tcPr>
          <w:p w14:paraId="3BA53846" w14:textId="77777777" w:rsidR="00D109B5" w:rsidRDefault="00D109B5" w:rsidP="00D109B5"/>
        </w:tc>
      </w:tr>
    </w:tbl>
    <w:p w14:paraId="72F8B7FE" w14:textId="77777777" w:rsidR="00881B48" w:rsidRPr="00565A25" w:rsidRDefault="00881B48" w:rsidP="00881B48">
      <w:pPr>
        <w:spacing w:after="0"/>
      </w:pPr>
    </w:p>
    <w:p w14:paraId="4E5CFCD9" w14:textId="39628B3C" w:rsidR="00F46CB4" w:rsidRDefault="005A7EC5" w:rsidP="00F46CB4">
      <w:pPr>
        <w:spacing w:after="0"/>
      </w:pPr>
      <w:r w:rsidRPr="005A7EC5">
        <w:rPr>
          <w:color w:val="000000"/>
        </w:rPr>
        <w:t>Three</w:t>
      </w:r>
      <w:r w:rsidR="00A017C1" w:rsidRPr="005A7EC5">
        <w:t xml:space="preserve"> consultants will be </w:t>
      </w:r>
      <w:r w:rsidR="00B9410E">
        <w:t xml:space="preserve">hired </w:t>
      </w:r>
      <w:r>
        <w:t>over</w:t>
      </w:r>
      <w:r w:rsidR="00A017C1" w:rsidRPr="005A7EC5">
        <w:t xml:space="preserve"> the course of the project</w:t>
      </w:r>
      <w:r>
        <w:t xml:space="preserve">: One will be international and the other two will </w:t>
      </w:r>
      <w:r w:rsidR="00A017C1" w:rsidRPr="005A7EC5">
        <w:t>provid</w:t>
      </w:r>
      <w:r>
        <w:t xml:space="preserve">e </w:t>
      </w:r>
      <w:r w:rsidR="00A017C1" w:rsidRPr="005A7EC5">
        <w:t xml:space="preserve">in-country </w:t>
      </w:r>
      <w:r w:rsidR="00A106A2">
        <w:t>support</w:t>
      </w:r>
      <w:r w:rsidR="00F72CDA">
        <w:t xml:space="preserve"> in Jamaica and Saint Lucia (therefore they will also be international hires from INTEC´s perspective)</w:t>
      </w:r>
      <w:r w:rsidR="00A106A2">
        <w:t xml:space="preserve">. </w:t>
      </w:r>
      <w:r w:rsidR="00A017C1" w:rsidRPr="00A106A2">
        <w:t>It is anticipated that the contracted workers will be engaged in their individual capacity.</w:t>
      </w:r>
      <w:r w:rsidR="00A017C1">
        <w:t xml:space="preserve"> </w:t>
      </w:r>
      <w:r w:rsidR="00A017C1" w:rsidRPr="00A106A2">
        <w:t xml:space="preserve">The consulting services </w:t>
      </w:r>
      <w:r w:rsidR="00A106A2">
        <w:t>will foll</w:t>
      </w:r>
      <w:r w:rsidR="00A017C1" w:rsidRPr="00A106A2">
        <w:t>ow a competitive procurement process. A written justification will outline the unique features that favor the identified service provider when sole-source procurement is used.</w:t>
      </w:r>
      <w:r w:rsidR="00A017C1">
        <w:t xml:space="preserve"> </w:t>
      </w:r>
      <w:r w:rsidR="00F46CB4">
        <w:t xml:space="preserve">The breakdown of </w:t>
      </w:r>
      <w:r w:rsidR="00B9410E">
        <w:t>consultants</w:t>
      </w:r>
      <w:r w:rsidR="00F46CB4">
        <w:t xml:space="preserve"> is as follows in </w:t>
      </w:r>
      <w:r w:rsidR="00F46CB4" w:rsidRPr="000145D8">
        <w:rPr>
          <w:b/>
          <w:bCs/>
        </w:rPr>
        <w:t xml:space="preserve">Table </w:t>
      </w:r>
      <w:r w:rsidR="00F46CB4">
        <w:rPr>
          <w:b/>
          <w:bCs/>
        </w:rPr>
        <w:t>8</w:t>
      </w:r>
      <w:r w:rsidR="00F46CB4" w:rsidRPr="000145D8">
        <w:rPr>
          <w:b/>
          <w:bCs/>
        </w:rPr>
        <w:t>.</w:t>
      </w:r>
      <w:r w:rsidR="00F46CB4">
        <w:rPr>
          <w:b/>
          <w:bCs/>
        </w:rPr>
        <w:t>2</w:t>
      </w:r>
      <w:r w:rsidR="00F46CB4">
        <w:t xml:space="preserve">: </w:t>
      </w:r>
    </w:p>
    <w:p w14:paraId="2E00DB83" w14:textId="605CE221" w:rsidR="00A017C1" w:rsidRDefault="00A017C1" w:rsidP="001F2D19"/>
    <w:p w14:paraId="1F0A50F4" w14:textId="14845CB5" w:rsidR="00A017C1" w:rsidRPr="00D84B6B" w:rsidRDefault="00D84B6B" w:rsidP="00A017C1">
      <w:pPr>
        <w:spacing w:before="160" w:after="0"/>
        <w:jc w:val="both"/>
        <w:rPr>
          <w:b/>
          <w:bCs/>
        </w:rPr>
      </w:pPr>
      <w:r w:rsidRPr="00D84B6B">
        <w:rPr>
          <w:b/>
          <w:bCs/>
        </w:rPr>
        <w:t xml:space="preserve">Table 8.2: </w:t>
      </w:r>
      <w:r w:rsidR="00B9410E">
        <w:rPr>
          <w:b/>
          <w:bCs/>
        </w:rPr>
        <w:t>Consultants</w:t>
      </w:r>
    </w:p>
    <w:tbl>
      <w:tblPr>
        <w:tblStyle w:val="TableGrid"/>
        <w:tblW w:w="0" w:type="auto"/>
        <w:tblLook w:val="04A0" w:firstRow="1" w:lastRow="0" w:firstColumn="1" w:lastColumn="0" w:noHBand="0" w:noVBand="1"/>
      </w:tblPr>
      <w:tblGrid>
        <w:gridCol w:w="2081"/>
        <w:gridCol w:w="1622"/>
        <w:gridCol w:w="1096"/>
        <w:gridCol w:w="1620"/>
        <w:gridCol w:w="1663"/>
        <w:gridCol w:w="1268"/>
      </w:tblGrid>
      <w:tr w:rsidR="00A017C1" w:rsidRPr="00142821" w14:paraId="50989E9C" w14:textId="77777777" w:rsidTr="00A106A2">
        <w:trPr>
          <w:trHeight w:val="552"/>
        </w:trPr>
        <w:tc>
          <w:tcPr>
            <w:tcW w:w="2081" w:type="dxa"/>
            <w:shd w:val="clear" w:color="auto" w:fill="4472C4" w:themeFill="accent1"/>
          </w:tcPr>
          <w:p w14:paraId="48D8B506" w14:textId="77777777" w:rsidR="00A017C1" w:rsidRPr="00CF4B95" w:rsidRDefault="00A017C1" w:rsidP="00115690">
            <w:pPr>
              <w:rPr>
                <w:b/>
                <w:bCs/>
                <w:color w:val="FFFFFF" w:themeColor="background1"/>
              </w:rPr>
            </w:pPr>
            <w:r>
              <w:rPr>
                <w:b/>
                <w:bCs/>
                <w:color w:val="FFFFFF" w:themeColor="background1"/>
              </w:rPr>
              <w:t>Position</w:t>
            </w:r>
          </w:p>
        </w:tc>
        <w:tc>
          <w:tcPr>
            <w:tcW w:w="1622" w:type="dxa"/>
            <w:shd w:val="clear" w:color="auto" w:fill="4472C4" w:themeFill="accent1"/>
          </w:tcPr>
          <w:p w14:paraId="3CA5776E" w14:textId="77777777" w:rsidR="00A017C1" w:rsidRPr="00CF4B95" w:rsidRDefault="00A017C1" w:rsidP="00115690">
            <w:pPr>
              <w:rPr>
                <w:b/>
                <w:bCs/>
                <w:color w:val="FFFFFF" w:themeColor="background1"/>
              </w:rPr>
            </w:pPr>
            <w:r>
              <w:rPr>
                <w:b/>
                <w:bCs/>
                <w:color w:val="FFFFFF" w:themeColor="background1"/>
              </w:rPr>
              <w:t>Jurisdiction</w:t>
            </w:r>
          </w:p>
        </w:tc>
        <w:tc>
          <w:tcPr>
            <w:tcW w:w="1096" w:type="dxa"/>
            <w:shd w:val="clear" w:color="auto" w:fill="4472C4" w:themeFill="accent1"/>
          </w:tcPr>
          <w:p w14:paraId="32E37F0B" w14:textId="77777777" w:rsidR="00A017C1" w:rsidRPr="00CF4B95" w:rsidRDefault="00A017C1" w:rsidP="00115690">
            <w:pPr>
              <w:rPr>
                <w:b/>
                <w:bCs/>
                <w:color w:val="FFFFFF" w:themeColor="background1"/>
              </w:rPr>
            </w:pPr>
            <w:r w:rsidRPr="00CF4B95">
              <w:rPr>
                <w:b/>
                <w:bCs/>
                <w:color w:val="FFFFFF" w:themeColor="background1"/>
              </w:rPr>
              <w:t>Number of workers</w:t>
            </w:r>
          </w:p>
        </w:tc>
        <w:tc>
          <w:tcPr>
            <w:tcW w:w="1620" w:type="dxa"/>
            <w:shd w:val="clear" w:color="auto" w:fill="4472C4" w:themeFill="accent1"/>
          </w:tcPr>
          <w:p w14:paraId="5C8D98CB" w14:textId="77777777" w:rsidR="00A017C1" w:rsidRPr="00CF4B95" w:rsidRDefault="00A017C1" w:rsidP="00115690">
            <w:pPr>
              <w:rPr>
                <w:b/>
                <w:bCs/>
                <w:color w:val="FFFFFF" w:themeColor="background1"/>
              </w:rPr>
            </w:pPr>
            <w:r w:rsidRPr="00CF4B95">
              <w:rPr>
                <w:b/>
                <w:bCs/>
                <w:color w:val="FFFFFF" w:themeColor="background1"/>
              </w:rPr>
              <w:t xml:space="preserve">Timing of worker engagement </w:t>
            </w:r>
          </w:p>
        </w:tc>
        <w:tc>
          <w:tcPr>
            <w:tcW w:w="1663" w:type="dxa"/>
            <w:shd w:val="clear" w:color="auto" w:fill="4472C4" w:themeFill="accent1"/>
          </w:tcPr>
          <w:p w14:paraId="3F2B8EBE" w14:textId="77777777" w:rsidR="00A017C1" w:rsidRPr="000145D8" w:rsidRDefault="00A017C1" w:rsidP="00115690">
            <w:pPr>
              <w:jc w:val="both"/>
              <w:rPr>
                <w:b/>
                <w:bCs/>
                <w:iCs/>
                <w:color w:val="FFFFFF" w:themeColor="background1"/>
              </w:rPr>
            </w:pPr>
            <w:r>
              <w:rPr>
                <w:b/>
                <w:iCs/>
                <w:color w:val="FFFFFF" w:themeColor="background1"/>
              </w:rPr>
              <w:t>Status</w:t>
            </w:r>
          </w:p>
        </w:tc>
        <w:tc>
          <w:tcPr>
            <w:tcW w:w="1268" w:type="dxa"/>
            <w:shd w:val="clear" w:color="auto" w:fill="4472C4" w:themeFill="accent1"/>
          </w:tcPr>
          <w:p w14:paraId="050FF78D" w14:textId="77777777" w:rsidR="00A017C1" w:rsidRDefault="00A017C1" w:rsidP="00115690">
            <w:pPr>
              <w:jc w:val="both"/>
              <w:rPr>
                <w:b/>
                <w:iCs/>
                <w:color w:val="FFFFFF" w:themeColor="background1"/>
              </w:rPr>
            </w:pPr>
            <w:r>
              <w:rPr>
                <w:b/>
                <w:iCs/>
                <w:color w:val="FFFFFF" w:themeColor="background1"/>
              </w:rPr>
              <w:t>Sex</w:t>
            </w:r>
          </w:p>
        </w:tc>
      </w:tr>
      <w:tr w:rsidR="00A017C1" w14:paraId="15A4E49D" w14:textId="77777777" w:rsidTr="00A106A2">
        <w:tc>
          <w:tcPr>
            <w:tcW w:w="2081" w:type="dxa"/>
          </w:tcPr>
          <w:p w14:paraId="03726AF8" w14:textId="3171916B" w:rsidR="00A017C1" w:rsidRDefault="00A017C1" w:rsidP="00115690">
            <w:r>
              <w:t>Monitoring and Evaluation Specialist</w:t>
            </w:r>
            <w:r w:rsidR="000B41DE">
              <w:t xml:space="preserve"> (independent evaluator)</w:t>
            </w:r>
          </w:p>
        </w:tc>
        <w:tc>
          <w:tcPr>
            <w:tcW w:w="1622" w:type="dxa"/>
          </w:tcPr>
          <w:p w14:paraId="577E559A" w14:textId="77777777" w:rsidR="00A017C1" w:rsidRDefault="00A017C1" w:rsidP="00115690">
            <w:r>
              <w:t xml:space="preserve">All countries </w:t>
            </w:r>
          </w:p>
        </w:tc>
        <w:tc>
          <w:tcPr>
            <w:tcW w:w="1096" w:type="dxa"/>
          </w:tcPr>
          <w:p w14:paraId="24A6E6EA" w14:textId="77777777" w:rsidR="00A017C1" w:rsidRDefault="00A017C1" w:rsidP="00115690">
            <w:r>
              <w:t>1</w:t>
            </w:r>
          </w:p>
        </w:tc>
        <w:tc>
          <w:tcPr>
            <w:tcW w:w="1620" w:type="dxa"/>
          </w:tcPr>
          <w:p w14:paraId="31F55D0D" w14:textId="77777777" w:rsidR="00A017C1" w:rsidRDefault="00A017C1" w:rsidP="00115690">
            <w:r>
              <w:t>September 2021 to July 2025</w:t>
            </w:r>
          </w:p>
        </w:tc>
        <w:tc>
          <w:tcPr>
            <w:tcW w:w="1663" w:type="dxa"/>
          </w:tcPr>
          <w:p w14:paraId="2CFF7E7C" w14:textId="79B5EBDB" w:rsidR="00A017C1" w:rsidRDefault="00A106A2" w:rsidP="00115690">
            <w:r>
              <w:rPr>
                <w:color w:val="000000"/>
              </w:rPr>
              <w:t>International</w:t>
            </w:r>
            <w:r w:rsidR="00A017C1">
              <w:rPr>
                <w:color w:val="000000"/>
              </w:rPr>
              <w:t xml:space="preserve">    </w:t>
            </w:r>
          </w:p>
        </w:tc>
        <w:tc>
          <w:tcPr>
            <w:tcW w:w="1268" w:type="dxa"/>
          </w:tcPr>
          <w:p w14:paraId="799C60D9" w14:textId="77777777" w:rsidR="00A017C1" w:rsidRDefault="00A017C1" w:rsidP="00115690">
            <w:pPr>
              <w:rPr>
                <w:color w:val="000000"/>
              </w:rPr>
            </w:pPr>
          </w:p>
          <w:p w14:paraId="60A42ED1" w14:textId="7F3C62A2" w:rsidR="00A106A2" w:rsidRPr="00A106A2" w:rsidRDefault="00A106A2" w:rsidP="00A106A2">
            <w:r>
              <w:rPr>
                <w:color w:val="000000"/>
              </w:rPr>
              <w:t>To be determined</w:t>
            </w:r>
          </w:p>
        </w:tc>
      </w:tr>
      <w:tr w:rsidR="00A106A2" w14:paraId="67685E48" w14:textId="77777777" w:rsidTr="00A106A2">
        <w:tc>
          <w:tcPr>
            <w:tcW w:w="2081" w:type="dxa"/>
          </w:tcPr>
          <w:p w14:paraId="27AAAE1D" w14:textId="77777777" w:rsidR="00A106A2" w:rsidRDefault="00A106A2" w:rsidP="00A106A2">
            <w:r>
              <w:t>Consultant</w:t>
            </w:r>
          </w:p>
        </w:tc>
        <w:tc>
          <w:tcPr>
            <w:tcW w:w="1622" w:type="dxa"/>
          </w:tcPr>
          <w:p w14:paraId="59E65D5C" w14:textId="77777777" w:rsidR="00A106A2" w:rsidRDefault="00A106A2" w:rsidP="00A106A2">
            <w:r>
              <w:t>Jamaica</w:t>
            </w:r>
          </w:p>
        </w:tc>
        <w:tc>
          <w:tcPr>
            <w:tcW w:w="1096" w:type="dxa"/>
          </w:tcPr>
          <w:p w14:paraId="75986F8E" w14:textId="77777777" w:rsidR="00A106A2" w:rsidRDefault="00A106A2" w:rsidP="00A106A2">
            <w:r>
              <w:t>1</w:t>
            </w:r>
          </w:p>
        </w:tc>
        <w:tc>
          <w:tcPr>
            <w:tcW w:w="1620" w:type="dxa"/>
          </w:tcPr>
          <w:p w14:paraId="73FC9252" w14:textId="77777777" w:rsidR="00A106A2" w:rsidRDefault="00A106A2" w:rsidP="00A106A2">
            <w:r>
              <w:t>August 2022 to July 2025</w:t>
            </w:r>
          </w:p>
        </w:tc>
        <w:tc>
          <w:tcPr>
            <w:tcW w:w="1663" w:type="dxa"/>
          </w:tcPr>
          <w:p w14:paraId="3B8637D2" w14:textId="3C3C4DEA" w:rsidR="00A106A2" w:rsidRDefault="00A106A2" w:rsidP="00A106A2">
            <w:r>
              <w:t>National worker</w:t>
            </w:r>
          </w:p>
        </w:tc>
        <w:tc>
          <w:tcPr>
            <w:tcW w:w="1268" w:type="dxa"/>
          </w:tcPr>
          <w:p w14:paraId="271839A6" w14:textId="07546B24" w:rsidR="00A106A2" w:rsidRDefault="00A106A2" w:rsidP="00A106A2">
            <w:pPr>
              <w:rPr>
                <w:color w:val="000000"/>
              </w:rPr>
            </w:pPr>
            <w:r>
              <w:rPr>
                <w:color w:val="000000"/>
              </w:rPr>
              <w:t>To be determined</w:t>
            </w:r>
          </w:p>
        </w:tc>
      </w:tr>
      <w:tr w:rsidR="00A106A2" w14:paraId="1686BABF" w14:textId="77777777" w:rsidTr="00A106A2">
        <w:tc>
          <w:tcPr>
            <w:tcW w:w="2081" w:type="dxa"/>
          </w:tcPr>
          <w:p w14:paraId="29F5ED37" w14:textId="77777777" w:rsidR="00A106A2" w:rsidRDefault="00A106A2" w:rsidP="00A106A2">
            <w:r>
              <w:t xml:space="preserve">Consultant </w:t>
            </w:r>
          </w:p>
        </w:tc>
        <w:tc>
          <w:tcPr>
            <w:tcW w:w="1622" w:type="dxa"/>
          </w:tcPr>
          <w:p w14:paraId="5A9A1086" w14:textId="77777777" w:rsidR="00A106A2" w:rsidRDefault="00A106A2" w:rsidP="00A106A2">
            <w:r>
              <w:t>Saint Lucia</w:t>
            </w:r>
          </w:p>
        </w:tc>
        <w:tc>
          <w:tcPr>
            <w:tcW w:w="1096" w:type="dxa"/>
          </w:tcPr>
          <w:p w14:paraId="6378D1B3" w14:textId="77777777" w:rsidR="00A106A2" w:rsidRDefault="00A106A2" w:rsidP="00A106A2">
            <w:r>
              <w:t>1</w:t>
            </w:r>
          </w:p>
        </w:tc>
        <w:tc>
          <w:tcPr>
            <w:tcW w:w="1620" w:type="dxa"/>
          </w:tcPr>
          <w:p w14:paraId="2D11A4E2" w14:textId="77777777" w:rsidR="00A106A2" w:rsidRDefault="00A106A2" w:rsidP="00A106A2">
            <w:r>
              <w:t>August 2022 to July 2025</w:t>
            </w:r>
          </w:p>
        </w:tc>
        <w:tc>
          <w:tcPr>
            <w:tcW w:w="1663" w:type="dxa"/>
          </w:tcPr>
          <w:p w14:paraId="18EF3850" w14:textId="451B505E" w:rsidR="00A106A2" w:rsidRDefault="00A106A2" w:rsidP="00A106A2">
            <w:r>
              <w:t>National worker</w:t>
            </w:r>
          </w:p>
        </w:tc>
        <w:tc>
          <w:tcPr>
            <w:tcW w:w="1268" w:type="dxa"/>
          </w:tcPr>
          <w:p w14:paraId="2C50101C" w14:textId="7529C7CD" w:rsidR="00A106A2" w:rsidRDefault="00A106A2" w:rsidP="00A106A2">
            <w:pPr>
              <w:rPr>
                <w:color w:val="000000"/>
              </w:rPr>
            </w:pPr>
            <w:r>
              <w:rPr>
                <w:color w:val="000000"/>
              </w:rPr>
              <w:t>To be determined</w:t>
            </w:r>
          </w:p>
        </w:tc>
      </w:tr>
      <w:tr w:rsidR="00A106A2" w14:paraId="1E353CDF" w14:textId="77777777" w:rsidTr="00A106A2">
        <w:tc>
          <w:tcPr>
            <w:tcW w:w="2081" w:type="dxa"/>
            <w:shd w:val="clear" w:color="auto" w:fill="D9E2F3" w:themeFill="accent1" w:themeFillTint="33"/>
          </w:tcPr>
          <w:p w14:paraId="49B6EA2F" w14:textId="77777777" w:rsidR="00A106A2" w:rsidRPr="00B64BB3" w:rsidRDefault="00A106A2" w:rsidP="00A106A2">
            <w:pPr>
              <w:tabs>
                <w:tab w:val="right" w:pos="1865"/>
              </w:tabs>
              <w:rPr>
                <w:b/>
                <w:bCs/>
              </w:rPr>
            </w:pPr>
            <w:r>
              <w:rPr>
                <w:b/>
                <w:bCs/>
              </w:rPr>
              <w:t>Total</w:t>
            </w:r>
            <w:r>
              <w:rPr>
                <w:b/>
                <w:bCs/>
              </w:rPr>
              <w:tab/>
            </w:r>
          </w:p>
        </w:tc>
        <w:tc>
          <w:tcPr>
            <w:tcW w:w="1622" w:type="dxa"/>
            <w:shd w:val="clear" w:color="auto" w:fill="D9E2F3" w:themeFill="accent1" w:themeFillTint="33"/>
          </w:tcPr>
          <w:p w14:paraId="0942DAC7" w14:textId="77777777" w:rsidR="00A106A2" w:rsidRDefault="00A106A2" w:rsidP="00A106A2"/>
        </w:tc>
        <w:tc>
          <w:tcPr>
            <w:tcW w:w="1096" w:type="dxa"/>
            <w:shd w:val="clear" w:color="auto" w:fill="D9E2F3" w:themeFill="accent1" w:themeFillTint="33"/>
          </w:tcPr>
          <w:p w14:paraId="64CFC5A1" w14:textId="0D3FBDE2" w:rsidR="00A106A2" w:rsidRPr="00B64BB3" w:rsidRDefault="00A106A2" w:rsidP="00A106A2">
            <w:pPr>
              <w:rPr>
                <w:b/>
                <w:bCs/>
              </w:rPr>
            </w:pPr>
            <w:r>
              <w:rPr>
                <w:b/>
                <w:bCs/>
              </w:rPr>
              <w:t>3</w:t>
            </w:r>
          </w:p>
        </w:tc>
        <w:tc>
          <w:tcPr>
            <w:tcW w:w="1620" w:type="dxa"/>
            <w:shd w:val="clear" w:color="auto" w:fill="D9E2F3" w:themeFill="accent1" w:themeFillTint="33"/>
          </w:tcPr>
          <w:p w14:paraId="11DD9A51" w14:textId="77777777" w:rsidR="00A106A2" w:rsidRDefault="00A106A2" w:rsidP="00A106A2"/>
        </w:tc>
        <w:tc>
          <w:tcPr>
            <w:tcW w:w="1663" w:type="dxa"/>
            <w:shd w:val="clear" w:color="auto" w:fill="D9E2F3" w:themeFill="accent1" w:themeFillTint="33"/>
          </w:tcPr>
          <w:p w14:paraId="7D75CD52" w14:textId="77777777" w:rsidR="00A106A2" w:rsidRDefault="00A106A2" w:rsidP="00A106A2"/>
        </w:tc>
        <w:tc>
          <w:tcPr>
            <w:tcW w:w="1268" w:type="dxa"/>
            <w:shd w:val="clear" w:color="auto" w:fill="D9E2F3" w:themeFill="accent1" w:themeFillTint="33"/>
          </w:tcPr>
          <w:p w14:paraId="2B52AFF6" w14:textId="77777777" w:rsidR="00A106A2" w:rsidRDefault="00A106A2" w:rsidP="00A106A2"/>
        </w:tc>
      </w:tr>
    </w:tbl>
    <w:p w14:paraId="1582753F" w14:textId="3EED389E" w:rsidR="00A017C1" w:rsidRDefault="00A017C1"/>
    <w:p w14:paraId="35BEBBAE" w14:textId="77777777" w:rsidR="00F72CDA" w:rsidRPr="005A7EC5" w:rsidRDefault="00F72CDA" w:rsidP="00F72CDA">
      <w:pPr>
        <w:pStyle w:val="ListParagraph"/>
        <w:numPr>
          <w:ilvl w:val="1"/>
          <w:numId w:val="1"/>
        </w:numPr>
        <w:spacing w:before="160" w:after="0"/>
        <w:jc w:val="both"/>
        <w:rPr>
          <w:iCs/>
        </w:rPr>
      </w:pPr>
      <w:r w:rsidRPr="005A7EC5">
        <w:rPr>
          <w:b/>
          <w:iCs/>
        </w:rPr>
        <w:t>Contracted Project Workers</w:t>
      </w:r>
      <w:r w:rsidRPr="005A7EC5">
        <w:rPr>
          <w:iCs/>
        </w:rPr>
        <w:t xml:space="preserve"> </w:t>
      </w:r>
    </w:p>
    <w:p w14:paraId="2DA1DD97" w14:textId="055AA7E4" w:rsidR="00F72CDA" w:rsidRDefault="00F72CDA">
      <w:r>
        <w:t xml:space="preserve">INTEC </w:t>
      </w:r>
      <w:r w:rsidR="00B9410E">
        <w:t>does not anticipate</w:t>
      </w:r>
      <w:r>
        <w:t xml:space="preserve"> having any workers for this project hired thru a third party or contractor.</w:t>
      </w:r>
    </w:p>
    <w:p w14:paraId="54F42936" w14:textId="0C6FAB4B" w:rsidR="00A106A2" w:rsidRPr="00D84B6B" w:rsidRDefault="00A106A2" w:rsidP="00DC0F12">
      <w:pPr>
        <w:pStyle w:val="Heading2"/>
        <w:numPr>
          <w:ilvl w:val="1"/>
          <w:numId w:val="1"/>
        </w:numPr>
        <w:rPr>
          <w:i w:val="0"/>
          <w:iCs/>
        </w:rPr>
      </w:pPr>
      <w:bookmarkStart w:id="22" w:name="_Toc77191096"/>
      <w:r w:rsidRPr="00D84B6B">
        <w:rPr>
          <w:i w:val="0"/>
          <w:iCs/>
        </w:rPr>
        <w:t>Community Workers</w:t>
      </w:r>
      <w:bookmarkEnd w:id="22"/>
    </w:p>
    <w:p w14:paraId="35DDE61E" w14:textId="0B63BAAE" w:rsidR="00A106A2" w:rsidRDefault="00A106A2" w:rsidP="00A106A2">
      <w:pPr>
        <w:spacing w:after="0"/>
        <w:jc w:val="both"/>
        <w:rPr>
          <w:bCs/>
          <w:iCs/>
          <w:color w:val="000000"/>
        </w:rPr>
      </w:pPr>
      <w:r>
        <w:rPr>
          <w:bCs/>
          <w:iCs/>
          <w:color w:val="000000"/>
        </w:rPr>
        <w:t xml:space="preserve">No community workers </w:t>
      </w:r>
      <w:r w:rsidR="000667EF">
        <w:rPr>
          <w:bCs/>
          <w:iCs/>
          <w:color w:val="000000"/>
        </w:rPr>
        <w:t>are expected to be</w:t>
      </w:r>
      <w:r>
        <w:rPr>
          <w:bCs/>
          <w:iCs/>
          <w:color w:val="000000"/>
        </w:rPr>
        <w:t xml:space="preserve"> </w:t>
      </w:r>
      <w:r w:rsidR="000667EF">
        <w:rPr>
          <w:bCs/>
          <w:iCs/>
          <w:color w:val="000000"/>
        </w:rPr>
        <w:t>employed/</w:t>
      </w:r>
      <w:r>
        <w:rPr>
          <w:bCs/>
          <w:iCs/>
          <w:color w:val="000000"/>
        </w:rPr>
        <w:t>engaged directly</w:t>
      </w:r>
      <w:r w:rsidR="000B41DE">
        <w:rPr>
          <w:bCs/>
          <w:iCs/>
          <w:color w:val="000000"/>
        </w:rPr>
        <w:t xml:space="preserve"> by</w:t>
      </w:r>
      <w:r>
        <w:rPr>
          <w:bCs/>
          <w:iCs/>
          <w:color w:val="000000"/>
        </w:rPr>
        <w:t xml:space="preserve"> INTEC/IHO</w:t>
      </w:r>
      <w:r w:rsidR="000667EF">
        <w:rPr>
          <w:bCs/>
          <w:iCs/>
          <w:color w:val="000000"/>
        </w:rPr>
        <w:t xml:space="preserve">, and there are no sub-grants or sub-projects expected under INTEC/IHO. </w:t>
      </w:r>
    </w:p>
    <w:p w14:paraId="39284E2A" w14:textId="5A4B64B1" w:rsidR="000667EF" w:rsidRDefault="000667EF" w:rsidP="00A106A2">
      <w:pPr>
        <w:spacing w:after="0"/>
        <w:jc w:val="both"/>
        <w:rPr>
          <w:bCs/>
          <w:iCs/>
          <w:color w:val="000000"/>
        </w:rPr>
      </w:pPr>
    </w:p>
    <w:p w14:paraId="1962C66D" w14:textId="58DE1E55" w:rsidR="000667EF" w:rsidRDefault="000667EF" w:rsidP="00A106A2">
      <w:pPr>
        <w:spacing w:after="0"/>
        <w:jc w:val="both"/>
        <w:rPr>
          <w:bCs/>
          <w:iCs/>
          <w:color w:val="000000"/>
        </w:rPr>
      </w:pPr>
      <w:r>
        <w:rPr>
          <w:bCs/>
          <w:iCs/>
          <w:color w:val="000000"/>
        </w:rPr>
        <w:t>In the eventuality</w:t>
      </w:r>
      <w:r w:rsidR="005F1321">
        <w:rPr>
          <w:bCs/>
          <w:iCs/>
          <w:color w:val="000000"/>
        </w:rPr>
        <w:t xml:space="preserve"> that the need for engaging </w:t>
      </w:r>
      <w:r>
        <w:rPr>
          <w:bCs/>
          <w:iCs/>
          <w:color w:val="000000"/>
        </w:rPr>
        <w:t xml:space="preserve">community workers </w:t>
      </w:r>
      <w:r w:rsidR="005F1321">
        <w:rPr>
          <w:bCs/>
          <w:iCs/>
          <w:color w:val="000000"/>
        </w:rPr>
        <w:t xml:space="preserve">is identified, </w:t>
      </w:r>
      <w:r>
        <w:rPr>
          <w:bCs/>
          <w:iCs/>
          <w:color w:val="000000"/>
        </w:rPr>
        <w:t xml:space="preserve">this document will be amended in consonance with the Bank guidelines prior to any such engagement. </w:t>
      </w:r>
    </w:p>
    <w:p w14:paraId="1CD1DD26" w14:textId="0F2B7DE6" w:rsidR="00A106A2" w:rsidRDefault="00A106A2" w:rsidP="00DA509F">
      <w:pPr>
        <w:pStyle w:val="Heading1"/>
        <w:numPr>
          <w:ilvl w:val="0"/>
          <w:numId w:val="0"/>
        </w:numPr>
        <w:ind w:left="357"/>
      </w:pPr>
      <w:bookmarkStart w:id="23" w:name="_Toc77191097"/>
      <w:r>
        <w:t>8.</w:t>
      </w:r>
      <w:r w:rsidR="00D84B6B">
        <w:t>4</w:t>
      </w:r>
      <w:r>
        <w:t xml:space="preserve">. </w:t>
      </w:r>
      <w:r w:rsidRPr="001D0D7A">
        <w:t>Migrant Workers</w:t>
      </w:r>
      <w:bookmarkEnd w:id="23"/>
    </w:p>
    <w:p w14:paraId="3A1DC2E3" w14:textId="0927270D" w:rsidR="00A106A2" w:rsidRDefault="00A106A2" w:rsidP="00A106A2">
      <w:pPr>
        <w:spacing w:before="160" w:after="0"/>
        <w:jc w:val="both"/>
      </w:pPr>
      <w:r>
        <w:rPr>
          <w:color w:val="000000"/>
        </w:rPr>
        <w:t xml:space="preserve">No </w:t>
      </w:r>
      <w:r w:rsidRPr="000B70CA">
        <w:rPr>
          <w:color w:val="000000"/>
        </w:rPr>
        <w:t xml:space="preserve">migrant workers </w:t>
      </w:r>
      <w:r>
        <w:rPr>
          <w:color w:val="000000"/>
        </w:rPr>
        <w:t>are expected to work on the project in any of the project islands</w:t>
      </w:r>
      <w:r w:rsidRPr="000B70CA">
        <w:rPr>
          <w:color w:val="000000"/>
        </w:rPr>
        <w:t>.</w:t>
      </w:r>
    </w:p>
    <w:p w14:paraId="16E90B31" w14:textId="3692A06C" w:rsidR="00662F4A" w:rsidRDefault="00662F4A" w:rsidP="00DC0F12">
      <w:pPr>
        <w:pStyle w:val="Heading1"/>
        <w:numPr>
          <w:ilvl w:val="1"/>
          <w:numId w:val="8"/>
        </w:numPr>
      </w:pPr>
      <w:bookmarkStart w:id="24" w:name="_Toc77191098"/>
      <w:r>
        <w:t>Characterist</w:t>
      </w:r>
      <w:r w:rsidRPr="00531A30">
        <w:t>ic</w:t>
      </w:r>
      <w:r>
        <w:t>s</w:t>
      </w:r>
      <w:r w:rsidRPr="00531A30">
        <w:t xml:space="preserve"> of Project Workers</w:t>
      </w:r>
      <w:bookmarkEnd w:id="24"/>
      <w:r>
        <w:t xml:space="preserve"> </w:t>
      </w:r>
    </w:p>
    <w:p w14:paraId="216AEC07" w14:textId="7C4DFAE0" w:rsidR="00881B48" w:rsidRDefault="000614B5" w:rsidP="00B51830">
      <w:pPr>
        <w:rPr>
          <w:color w:val="000000"/>
        </w:rPr>
      </w:pPr>
      <w:r>
        <w:rPr>
          <w:bCs/>
          <w:iCs/>
          <w:color w:val="000000"/>
        </w:rPr>
        <w:t>INTEC and IHO</w:t>
      </w:r>
      <w:r w:rsidRPr="00B148A2">
        <w:rPr>
          <w:bCs/>
          <w:iCs/>
          <w:color w:val="000000"/>
        </w:rPr>
        <w:t xml:space="preserve"> </w:t>
      </w:r>
      <w:r>
        <w:rPr>
          <w:bCs/>
          <w:iCs/>
          <w:color w:val="000000"/>
        </w:rPr>
        <w:t>are</w:t>
      </w:r>
      <w:r>
        <w:t xml:space="preserve"> equal opportunity employers that value diversity and inclusivity. INTEC and IHO </w:t>
      </w:r>
      <w:r w:rsidRPr="001C5621">
        <w:rPr>
          <w:bCs/>
          <w:iCs/>
          <w:color w:val="000000"/>
        </w:rPr>
        <w:t>do not practice discrimination in any form</w:t>
      </w:r>
      <w:r>
        <w:rPr>
          <w:bCs/>
          <w:iCs/>
          <w:color w:val="000000"/>
        </w:rPr>
        <w:t>,</w:t>
      </w:r>
      <w:r w:rsidRPr="001C5621">
        <w:rPr>
          <w:bCs/>
          <w:iCs/>
          <w:color w:val="000000"/>
        </w:rPr>
        <w:t xml:space="preserve"> nor does it tolerate the practice of discrimination based on race, color, nationality, religion, gender, age, ethnicity, sexual orientation, marital </w:t>
      </w:r>
      <w:proofErr w:type="gramStart"/>
      <w:r w:rsidRPr="001C5621">
        <w:rPr>
          <w:bCs/>
          <w:iCs/>
          <w:color w:val="000000"/>
        </w:rPr>
        <w:t>status</w:t>
      </w:r>
      <w:proofErr w:type="gramEnd"/>
      <w:r w:rsidRPr="001C5621">
        <w:rPr>
          <w:bCs/>
          <w:iCs/>
          <w:color w:val="000000"/>
        </w:rPr>
        <w:t xml:space="preserve"> or disability. This applies in all spheres of the employment life cycle</w:t>
      </w:r>
      <w:r>
        <w:rPr>
          <w:bCs/>
          <w:iCs/>
          <w:color w:val="000000"/>
        </w:rPr>
        <w:t>.</w:t>
      </w:r>
      <w:r w:rsidRPr="001C5621">
        <w:rPr>
          <w:bCs/>
          <w:iCs/>
          <w:color w:val="000000"/>
        </w:rPr>
        <w:t xml:space="preserve"> </w:t>
      </w:r>
      <w:r w:rsidR="00881B48">
        <w:rPr>
          <w:color w:val="000000"/>
        </w:rPr>
        <w:t>INTEC has institutional policy—</w:t>
      </w:r>
      <w:r w:rsidR="00881B48" w:rsidRPr="00910654">
        <w:rPr>
          <w:color w:val="000000"/>
        </w:rPr>
        <w:t>Sexual Harassment Prevention and Attention Policy</w:t>
      </w:r>
      <w:r w:rsidR="00881B48">
        <w:rPr>
          <w:color w:val="000000"/>
        </w:rPr>
        <w:t xml:space="preserve"> (</w:t>
      </w:r>
      <w:r w:rsidR="00881B48" w:rsidRPr="00910654">
        <w:rPr>
          <w:color w:val="000000"/>
        </w:rPr>
        <w:t xml:space="preserve">Política </w:t>
      </w:r>
      <w:r w:rsidR="00881B48">
        <w:rPr>
          <w:color w:val="000000"/>
        </w:rPr>
        <w:t>d</w:t>
      </w:r>
      <w:r w:rsidR="00881B48" w:rsidRPr="00910654">
        <w:rPr>
          <w:color w:val="000000"/>
        </w:rPr>
        <w:t xml:space="preserve">e </w:t>
      </w:r>
      <w:proofErr w:type="spellStart"/>
      <w:r w:rsidR="00881B48" w:rsidRPr="00910654">
        <w:rPr>
          <w:color w:val="000000"/>
        </w:rPr>
        <w:t>Prevención</w:t>
      </w:r>
      <w:proofErr w:type="spellEnd"/>
      <w:r w:rsidR="00881B48">
        <w:rPr>
          <w:color w:val="000000"/>
        </w:rPr>
        <w:t xml:space="preserve"> </w:t>
      </w:r>
      <w:r w:rsidR="00881B48" w:rsidRPr="00910654">
        <w:rPr>
          <w:color w:val="000000"/>
        </w:rPr>
        <w:t xml:space="preserve">Y </w:t>
      </w:r>
      <w:proofErr w:type="spellStart"/>
      <w:r w:rsidR="00881B48" w:rsidRPr="00910654">
        <w:rPr>
          <w:color w:val="000000"/>
        </w:rPr>
        <w:t>Atención</w:t>
      </w:r>
      <w:proofErr w:type="spellEnd"/>
      <w:r w:rsidR="00881B48" w:rsidRPr="00910654">
        <w:rPr>
          <w:color w:val="000000"/>
        </w:rPr>
        <w:t xml:space="preserve"> Al </w:t>
      </w:r>
      <w:proofErr w:type="spellStart"/>
      <w:r w:rsidR="00881B48" w:rsidRPr="00910654">
        <w:rPr>
          <w:color w:val="000000"/>
        </w:rPr>
        <w:t>Acoso</w:t>
      </w:r>
      <w:proofErr w:type="spellEnd"/>
      <w:r w:rsidR="00881B48" w:rsidRPr="00910654">
        <w:rPr>
          <w:color w:val="000000"/>
        </w:rPr>
        <w:t xml:space="preserve"> Sexual</w:t>
      </w:r>
      <w:r w:rsidR="00881B48">
        <w:rPr>
          <w:color w:val="000000"/>
        </w:rPr>
        <w:t xml:space="preserve">)—that protects civil and gender rights.  </w:t>
      </w:r>
    </w:p>
    <w:p w14:paraId="721CA707" w14:textId="52486838" w:rsidR="000614B5" w:rsidRDefault="000614B5" w:rsidP="000614B5">
      <w:pPr>
        <w:spacing w:before="160" w:after="0"/>
        <w:jc w:val="both"/>
      </w:pPr>
      <w:r>
        <w:t xml:space="preserve">The </w:t>
      </w:r>
      <w:r w:rsidR="00B51830">
        <w:t>five</w:t>
      </w:r>
      <w:r>
        <w:t xml:space="preserve"> known direct workers currently comprise </w:t>
      </w:r>
      <w:r w:rsidR="00B51830">
        <w:t xml:space="preserve">four </w:t>
      </w:r>
      <w:r>
        <w:t>women and one man; the sex ratio may change with the addition of the three direct workers who will be recruited after the start of the sub-project.</w:t>
      </w:r>
    </w:p>
    <w:p w14:paraId="5040B5CC" w14:textId="43235335" w:rsidR="000614B5" w:rsidRDefault="000614B5" w:rsidP="000614B5">
      <w:pPr>
        <w:spacing w:before="160" w:after="0"/>
        <w:jc w:val="both"/>
        <w:rPr>
          <w:iCs/>
          <w:color w:val="000000"/>
        </w:rPr>
      </w:pPr>
      <w:r>
        <w:t>None of the direct workers is aged under 18 years, and given the qualification requirements for the positions, no one under this age will be hired to work on the project, either as a direct worker or a contracted worker.</w:t>
      </w:r>
      <w:r w:rsidRPr="00B148A2">
        <w:rPr>
          <w:iCs/>
          <w:color w:val="000000"/>
        </w:rPr>
        <w:t xml:space="preserve"> </w:t>
      </w:r>
    </w:p>
    <w:p w14:paraId="5D8B2F7F" w14:textId="43454D0F" w:rsidR="000614B5" w:rsidRDefault="000614B5" w:rsidP="000614B5">
      <w:pPr>
        <w:spacing w:before="160" w:after="0"/>
        <w:jc w:val="both"/>
        <w:rPr>
          <w:iCs/>
          <w:color w:val="000000"/>
        </w:rPr>
      </w:pPr>
      <w:r>
        <w:rPr>
          <w:iCs/>
          <w:color w:val="000000"/>
        </w:rPr>
        <w:t xml:space="preserve">All existing workers are authorized to work in the jurisdiction where they are normally domiciled, and </w:t>
      </w:r>
      <w:r w:rsidR="00B51830">
        <w:rPr>
          <w:iCs/>
          <w:color w:val="000000"/>
        </w:rPr>
        <w:t>INTEC</w:t>
      </w:r>
      <w:r w:rsidR="00D84B6B">
        <w:rPr>
          <w:iCs/>
          <w:color w:val="000000"/>
        </w:rPr>
        <w:t xml:space="preserve">/IHO </w:t>
      </w:r>
      <w:r>
        <w:rPr>
          <w:iCs/>
          <w:color w:val="000000"/>
        </w:rPr>
        <w:t>will ensure that all additional direct and contract workers hired for the project have work eligibility in their country of residence.</w:t>
      </w:r>
    </w:p>
    <w:p w14:paraId="606B857C" w14:textId="77777777" w:rsidR="000614B5" w:rsidRDefault="000614B5" w:rsidP="00881B48">
      <w:pPr>
        <w:spacing w:after="0"/>
        <w:jc w:val="both"/>
        <w:rPr>
          <w:color w:val="000000"/>
        </w:rPr>
      </w:pPr>
    </w:p>
    <w:p w14:paraId="2DF12B3D" w14:textId="3B4B84D6" w:rsidR="00662F4A" w:rsidRPr="00D84B6B" w:rsidRDefault="00D84B6B" w:rsidP="00D84B6B">
      <w:pPr>
        <w:pStyle w:val="Heading2"/>
        <w:ind w:left="360"/>
        <w:rPr>
          <w:i w:val="0"/>
          <w:iCs/>
        </w:rPr>
      </w:pPr>
      <w:bookmarkStart w:id="25" w:name="_Toc77191099"/>
      <w:r w:rsidRPr="00D84B6B">
        <w:rPr>
          <w:i w:val="0"/>
          <w:iCs/>
        </w:rPr>
        <w:t>8.6.</w:t>
      </w:r>
      <w:r w:rsidR="00D109B5" w:rsidRPr="00D84B6B">
        <w:rPr>
          <w:i w:val="0"/>
          <w:iCs/>
        </w:rPr>
        <w:t xml:space="preserve"> </w:t>
      </w:r>
      <w:r w:rsidR="00662F4A" w:rsidRPr="00D84B6B">
        <w:rPr>
          <w:i w:val="0"/>
          <w:iCs/>
        </w:rPr>
        <w:t>Timing of Labor Requirements</w:t>
      </w:r>
      <w:bookmarkEnd w:id="25"/>
    </w:p>
    <w:p w14:paraId="19F5D16A" w14:textId="44891E46" w:rsidR="00881B48" w:rsidRDefault="00881B48" w:rsidP="00881B48">
      <w:r>
        <w:t xml:space="preserve">The Project Managers, Climate Change and Social Specialist, Gender, Youth and Minority Specialist, Monitoring and Evaluation Specialists, and Administration in Dominican Republic and Antigua and Barbuda will be engaged in the project from inception to completion (August 2021 to July 2025). The Consultants in Jamaica and Saint Lucia will commence engagement in the project from August 2022 to July 2025. The Monitoring and Evaluation Specialist International Consultant will be involved from September 2021 to July 2025. </w:t>
      </w:r>
    </w:p>
    <w:p w14:paraId="1890ABF0" w14:textId="5431CFA8" w:rsidR="00662F4A" w:rsidRPr="00681E7E" w:rsidRDefault="00662F4A" w:rsidP="001F2D19">
      <w:pPr>
        <w:pStyle w:val="Heading1"/>
      </w:pPr>
      <w:bookmarkStart w:id="26" w:name="_Toc77191100"/>
      <w:r w:rsidRPr="004244B2">
        <w:t>Assessment</w:t>
      </w:r>
      <w:r w:rsidRPr="00681E7E">
        <w:t xml:space="preserve"> of </w:t>
      </w:r>
      <w:r w:rsidRPr="001F2D19">
        <w:t>Key</w:t>
      </w:r>
      <w:r w:rsidRPr="00681E7E">
        <w:t xml:space="preserve"> Potential Labor</w:t>
      </w:r>
      <w:r w:rsidR="004244B2">
        <w:t xml:space="preserve"> Risks</w:t>
      </w:r>
      <w:bookmarkEnd w:id="26"/>
      <w:r w:rsidR="004244B2">
        <w:t xml:space="preserve"> </w:t>
      </w:r>
    </w:p>
    <w:p w14:paraId="621154E3" w14:textId="77777777" w:rsidR="00A439B2" w:rsidRDefault="003D3023" w:rsidP="003D3023">
      <w:r w:rsidRPr="00164B27">
        <w:t>The project is conceived of as part of a broader set of inter-connected interventions</w:t>
      </w:r>
      <w:r>
        <w:t>—</w:t>
      </w:r>
      <w:r w:rsidRPr="00164B27">
        <w:t xml:space="preserve">alongside the </w:t>
      </w:r>
      <w:r>
        <w:t xml:space="preserve">Global Partnership for Social Accountability </w:t>
      </w:r>
      <w:r w:rsidRPr="00164B27">
        <w:t>(</w:t>
      </w:r>
      <w:r>
        <w:t>GPSA</w:t>
      </w:r>
      <w:r w:rsidRPr="00164B27">
        <w:t>)—aimed at improving the conservation of biodiversity in the Caribbean. The World Bank Critical Ecosystem Partnership Fund</w:t>
      </w:r>
      <w:r>
        <w:t>—</w:t>
      </w:r>
      <w:r w:rsidRPr="00164B27">
        <w:t xml:space="preserve">Caribbean Hotspot Project seeks </w:t>
      </w:r>
      <w:r w:rsidRPr="00BE2D3A">
        <w:t xml:space="preserve">to </w:t>
      </w:r>
      <w:r w:rsidRPr="003D3023">
        <w:rPr>
          <w:bCs/>
        </w:rPr>
        <w:t>improve the capacity of civil society organizations in the conservation and management of globally important biodiversity in selected Key Biodiversity Areas in the Caribbean Biodiversity Hotspot</w:t>
      </w:r>
      <w:r w:rsidRPr="00164B27">
        <w:t>s</w:t>
      </w:r>
      <w:r>
        <w:t xml:space="preserve">. </w:t>
      </w:r>
      <w:r w:rsidRPr="00164B27">
        <w:t xml:space="preserve">Specifically, the GPSA project will complement these interventions by utilizing social accountability mechanisms and tools to address challenges across the biodiversity conservation delivery chain. </w:t>
      </w:r>
      <w:r>
        <w:t xml:space="preserve">The project is set to start in </w:t>
      </w:r>
      <w:r w:rsidR="006E1D25">
        <w:t>August</w:t>
      </w:r>
      <w:r>
        <w:t xml:space="preserve"> 202</w:t>
      </w:r>
      <w:r w:rsidR="006E1D25">
        <w:t>1</w:t>
      </w:r>
      <w:r>
        <w:t xml:space="preserve"> until </w:t>
      </w:r>
      <w:r w:rsidR="006E1D25">
        <w:t xml:space="preserve">July </w:t>
      </w:r>
      <w:r>
        <w:t>202</w:t>
      </w:r>
      <w:r w:rsidR="006E1D25">
        <w:t>5</w:t>
      </w:r>
      <w:r>
        <w:t xml:space="preserve">.  Public input will be sought through </w:t>
      </w:r>
      <w:r w:rsidRPr="00164B27">
        <w:t>collaborative social accountability mechanisms between governments, citizens</w:t>
      </w:r>
      <w:r w:rsidR="00A439B2">
        <w:t>,</w:t>
      </w:r>
      <w:r w:rsidRPr="00164B27">
        <w:t xml:space="preserve"> and civil society organizations (CSOs).</w:t>
      </w:r>
      <w:r w:rsidR="00A439B2">
        <w:t xml:space="preserve"> </w:t>
      </w:r>
    </w:p>
    <w:p w14:paraId="20579436" w14:textId="17208C02" w:rsidR="00A439B2" w:rsidRDefault="00A439B2" w:rsidP="00A439B2">
      <w:pPr>
        <w:spacing w:after="0"/>
        <w:jc w:val="both"/>
      </w:pPr>
      <w:r>
        <w:t>Most of the project work can be classified as knowledge work, requiring p</w:t>
      </w:r>
      <w:r w:rsidRPr="00E32266">
        <w:t>rofessional and administrative labor</w:t>
      </w:r>
      <w:r>
        <w:t>. There will be no use of heavy machinery, working at heights</w:t>
      </w:r>
      <w:r w:rsidR="008470D1">
        <w:t>,</w:t>
      </w:r>
      <w:r>
        <w:t xml:space="preserve"> or other hazardous work.  Most of the occupational health and safety risks relate to in-country and </w:t>
      </w:r>
      <w:r w:rsidR="008470D1">
        <w:t>regional</w:t>
      </w:r>
      <w:r>
        <w:t xml:space="preserve"> travel to support and evaluate activities in project countries. COVID-19 currently presents a threat to all workers, whether working in-country or during </w:t>
      </w:r>
      <w:r w:rsidR="008470D1">
        <w:t>regional</w:t>
      </w:r>
      <w:r>
        <w:t xml:space="preserve"> travel.</w:t>
      </w:r>
    </w:p>
    <w:p w14:paraId="5ADD9190" w14:textId="77777777" w:rsidR="00A439B2" w:rsidRDefault="00A439B2" w:rsidP="00A439B2">
      <w:pPr>
        <w:spacing w:after="0"/>
        <w:jc w:val="both"/>
      </w:pPr>
    </w:p>
    <w:p w14:paraId="01263921" w14:textId="3A3828F4" w:rsidR="00A439B2" w:rsidRDefault="00A439B2" w:rsidP="00A439B2">
      <w:pPr>
        <w:spacing w:after="0"/>
        <w:jc w:val="both"/>
      </w:pPr>
      <w:r>
        <w:t>There are also risks to occupational health and safety associated with natural hazards, particularly those hazards characteristic of countries in the Atlantic hurricane belt.</w:t>
      </w:r>
      <w:r w:rsidRPr="00A120B0">
        <w:t xml:space="preserve"> </w:t>
      </w:r>
      <w:r>
        <w:t xml:space="preserve">Project workers may also be exposed to workplace injuries at </w:t>
      </w:r>
      <w:r w:rsidR="00784CB0">
        <w:t>INTEC/IHO’s</w:t>
      </w:r>
      <w:r>
        <w:t xml:space="preserve"> offices or remote work locations. </w:t>
      </w:r>
    </w:p>
    <w:p w14:paraId="326A451C" w14:textId="77777777" w:rsidR="00A439B2" w:rsidRDefault="00A439B2" w:rsidP="00A439B2">
      <w:pPr>
        <w:spacing w:after="0"/>
        <w:jc w:val="both"/>
      </w:pPr>
    </w:p>
    <w:p w14:paraId="31EA1DC3" w14:textId="77777777" w:rsidR="00A439B2" w:rsidRDefault="00A439B2" w:rsidP="00A439B2">
      <w:pPr>
        <w:spacing w:after="0"/>
        <w:jc w:val="both"/>
      </w:pPr>
      <w:r>
        <w:t>Although unlikely, there may be some risk of discrimination and/or harassment, including sexual harassment, in the workplace, on the grounds of gender or other protected characteristic.</w:t>
      </w:r>
    </w:p>
    <w:p w14:paraId="7D8497F7" w14:textId="77777777" w:rsidR="00A439B2" w:rsidRDefault="00A439B2" w:rsidP="00A439B2">
      <w:pPr>
        <w:spacing w:after="0"/>
        <w:jc w:val="both"/>
      </w:pPr>
    </w:p>
    <w:p w14:paraId="62C6EA48" w14:textId="3BF67FFB" w:rsidR="00A439B2" w:rsidRDefault="00A439B2" w:rsidP="00A439B2">
      <w:pPr>
        <w:spacing w:after="0"/>
        <w:jc w:val="both"/>
      </w:pPr>
      <w:r w:rsidRPr="001F2D19">
        <w:t xml:space="preserve">The key labor risks that may be associated with the project are summarized in Table </w:t>
      </w:r>
      <w:r w:rsidR="00246205" w:rsidRPr="001F2D19">
        <w:t>10.0</w:t>
      </w:r>
      <w:r w:rsidRPr="001F2D19">
        <w:t>.</w:t>
      </w:r>
    </w:p>
    <w:p w14:paraId="3343F2D4" w14:textId="3AD51813" w:rsidR="003D3023" w:rsidRDefault="003D3023" w:rsidP="00DA509F">
      <w:pPr>
        <w:spacing w:after="0"/>
      </w:pPr>
      <w:r w:rsidRPr="00164B27">
        <w:t xml:space="preserve">    </w:t>
      </w:r>
    </w:p>
    <w:p w14:paraId="3E9807DB" w14:textId="598FB1A7" w:rsidR="004244B2" w:rsidRPr="001F2D19" w:rsidRDefault="004244B2" w:rsidP="001F2D19">
      <w:pPr>
        <w:pStyle w:val="Heading1"/>
      </w:pPr>
      <w:bookmarkStart w:id="27" w:name="_Toc76399751"/>
      <w:bookmarkStart w:id="28" w:name="_Toc77191101"/>
      <w:r w:rsidRPr="001F2D19">
        <w:t>Risk mitigation measures</w:t>
      </w:r>
      <w:bookmarkEnd w:id="27"/>
      <w:bookmarkEnd w:id="28"/>
    </w:p>
    <w:p w14:paraId="0D7CC832" w14:textId="77777777" w:rsidR="001F2D19" w:rsidRDefault="001F2D19" w:rsidP="001F2D19">
      <w:pPr>
        <w:shd w:val="clear" w:color="auto" w:fill="FFFFFF"/>
        <w:spacing w:after="0" w:line="235" w:lineRule="atLeast"/>
        <w:jc w:val="both"/>
        <w:rPr>
          <w:rFonts w:ascii="Calibri" w:eastAsia="Times New Roman" w:hAnsi="Calibri" w:cs="Calibri"/>
          <w:color w:val="222222"/>
          <w:lang w:eastAsia="en-CA"/>
        </w:rPr>
      </w:pPr>
      <w:r>
        <w:rPr>
          <w:rFonts w:ascii="Calibri" w:eastAsia="Times New Roman" w:hAnsi="Calibri" w:cs="Calibri"/>
          <w:color w:val="222222"/>
          <w:lang w:eastAsia="en-CA"/>
        </w:rPr>
        <w:t>Mitigation measures currently in place include the following:</w:t>
      </w:r>
    </w:p>
    <w:p w14:paraId="0718EBDA" w14:textId="160D89D1" w:rsidR="001F2D19" w:rsidRDefault="001F2D19"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 xml:space="preserve">All INTEC employees benefit from medical insurance; they are also entitled to compensation for work </w:t>
      </w:r>
      <w:r w:rsidR="00DA509F">
        <w:rPr>
          <w:rFonts w:ascii="Calibri" w:eastAsia="Times New Roman" w:hAnsi="Calibri" w:cs="Calibri"/>
          <w:color w:val="222222"/>
          <w:lang w:eastAsia="en-CA"/>
        </w:rPr>
        <w:t xml:space="preserve">related </w:t>
      </w:r>
      <w:r>
        <w:rPr>
          <w:rFonts w:ascii="Calibri" w:eastAsia="Times New Roman" w:hAnsi="Calibri" w:cs="Calibri"/>
          <w:color w:val="222222"/>
          <w:lang w:eastAsia="en-CA"/>
        </w:rPr>
        <w:t>injuries in accordance with Dominican law.</w:t>
      </w:r>
    </w:p>
    <w:p w14:paraId="621CBAD2" w14:textId="5D11D29E" w:rsidR="001F2D19" w:rsidRDefault="00DA509F"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At INTEC and IHO o</w:t>
      </w:r>
      <w:r w:rsidR="001F2D19">
        <w:rPr>
          <w:rFonts w:ascii="Calibri" w:eastAsia="Times New Roman" w:hAnsi="Calibri" w:cs="Calibri"/>
          <w:color w:val="222222"/>
          <w:lang w:eastAsia="en-CA"/>
        </w:rPr>
        <w:t xml:space="preserve">ccupational health and risk management trainings are mandatory and occur at least once a year. </w:t>
      </w:r>
    </w:p>
    <w:p w14:paraId="03380613" w14:textId="3F477EBB" w:rsidR="001F2D19" w:rsidRDefault="001F2D19"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val="en-CA" w:eastAsia="en-CA"/>
        </w:rPr>
      </w:pPr>
      <w:r>
        <w:rPr>
          <w:rFonts w:ascii="Calibri" w:eastAsia="Times New Roman" w:hAnsi="Calibri" w:cs="Calibri"/>
          <w:color w:val="222222"/>
          <w:lang w:eastAsia="en-CA"/>
        </w:rPr>
        <w:t>It</w:t>
      </w:r>
      <w:r w:rsidR="00DA509F">
        <w:rPr>
          <w:rFonts w:ascii="Calibri" w:eastAsia="Times New Roman" w:hAnsi="Calibri" w:cs="Calibri"/>
          <w:color w:val="222222"/>
          <w:lang w:eastAsia="en-CA"/>
        </w:rPr>
        <w:t xml:space="preserve"> is </w:t>
      </w:r>
      <w:r>
        <w:rPr>
          <w:rFonts w:ascii="Calibri" w:eastAsia="Times New Roman" w:hAnsi="Calibri" w:cs="Calibri"/>
          <w:color w:val="222222"/>
          <w:lang w:eastAsia="en-CA"/>
        </w:rPr>
        <w:t>INTEC</w:t>
      </w:r>
      <w:r w:rsidR="00DA509F">
        <w:rPr>
          <w:rFonts w:ascii="Calibri" w:eastAsia="Times New Roman" w:hAnsi="Calibri" w:cs="Calibri"/>
          <w:color w:val="222222"/>
          <w:lang w:eastAsia="en-CA"/>
        </w:rPr>
        <w:t xml:space="preserve"> and IHO’s</w:t>
      </w:r>
      <w:r>
        <w:rPr>
          <w:rFonts w:ascii="Calibri" w:eastAsia="Times New Roman" w:hAnsi="Calibri" w:cs="Calibri"/>
          <w:color w:val="222222"/>
          <w:lang w:eastAsia="en-CA"/>
        </w:rPr>
        <w:t xml:space="preserve"> policy to purchase travel insurance for </w:t>
      </w:r>
      <w:r w:rsidR="00DA509F">
        <w:rPr>
          <w:rFonts w:ascii="Calibri" w:eastAsia="Times New Roman" w:hAnsi="Calibri" w:cs="Calibri"/>
          <w:color w:val="222222"/>
          <w:lang w:eastAsia="en-CA"/>
        </w:rPr>
        <w:t xml:space="preserve">regional and </w:t>
      </w:r>
      <w:r>
        <w:rPr>
          <w:rFonts w:ascii="Calibri" w:eastAsia="Times New Roman" w:hAnsi="Calibri" w:cs="Calibri"/>
          <w:color w:val="222222"/>
          <w:lang w:eastAsia="en-CA"/>
        </w:rPr>
        <w:t>international travel.</w:t>
      </w:r>
    </w:p>
    <w:p w14:paraId="174DBD14" w14:textId="34D5B25D" w:rsidR="001F2D19" w:rsidRDefault="001F2D19"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INTEC complies with all Dominican Republic Labor and Social Security Laws and Regulations, which include provisions for paid annual personal leave and paid sick leave up to 6 months.</w:t>
      </w:r>
    </w:p>
    <w:p w14:paraId="78E85BBA" w14:textId="5DF8BD70" w:rsidR="00DA509F" w:rsidRDefault="00DA509F"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IHO complies with all Antigua and Barbuda and Social Security Act.</w:t>
      </w:r>
    </w:p>
    <w:p w14:paraId="1C5B6842" w14:textId="2A8854BF" w:rsidR="001F2D19" w:rsidRDefault="001F2D19"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INTEC has in place guidelines for staff on how to safeguard themselves against transmission of COVID-19 in the Santo Domingo Campus. Staff working from home or based outside of Santo Domingo follow national government guidelines and protocols. All non-essential travel has been discontinued and local events and face-to-face meetings are discouraged. When the risk presented by COVID-19 eventually diminishes, the safety of project workers, communities and partners will be the main consideration in deciding when international travel and face-to-face interactions can resume.</w:t>
      </w:r>
    </w:p>
    <w:p w14:paraId="221A8EA0" w14:textId="247F94B4" w:rsidR="00DA509F" w:rsidRDefault="00DA509F" w:rsidP="00DC0F12">
      <w:pPr>
        <w:pStyle w:val="ListParagraph"/>
        <w:numPr>
          <w:ilvl w:val="0"/>
          <w:numId w:val="6"/>
        </w:numPr>
        <w:shd w:val="clear" w:color="auto" w:fill="FFFFFF"/>
        <w:spacing w:after="200" w:line="276" w:lineRule="auto"/>
        <w:jc w:val="both"/>
      </w:pPr>
      <w:r w:rsidRPr="00B0231B">
        <w:rPr>
          <w:rFonts w:ascii="Calibri" w:eastAsia="Times New Roman" w:hAnsi="Calibri" w:cs="Calibri"/>
          <w:color w:val="222222"/>
          <w:lang w:eastAsia="en-CA"/>
        </w:rPr>
        <w:t xml:space="preserve">IHO </w:t>
      </w:r>
      <w:r>
        <w:t>will include training for project workers on hygiene and other Covid-19 preventative measures.</w:t>
      </w:r>
      <w:r w:rsidR="00B0231B">
        <w:t xml:space="preserve"> </w:t>
      </w:r>
      <w:r>
        <w:t>Virtual sessions, including with project communities, will be conducted where viable. Where virtual sessions are not viable and sessions must be held in person, the project will ensure that proper Covid-19 protocols will be adhered</w:t>
      </w:r>
      <w:r w:rsidR="00B0231B">
        <w:t xml:space="preserve">. </w:t>
      </w:r>
      <w:r>
        <w:t>Project workers will be provided with the adequate PPE required to safely carry out their duties.</w:t>
      </w:r>
      <w:r w:rsidR="00B0231B">
        <w:t xml:space="preserve"> </w:t>
      </w:r>
      <w:r>
        <w:t xml:space="preserve">A protocol will be developed in the event any project worker contracts Covid-19. </w:t>
      </w:r>
    </w:p>
    <w:p w14:paraId="79BB7B19" w14:textId="2A6604C2" w:rsidR="001F2D19" w:rsidRDefault="001F2D19"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INTEC</w:t>
      </w:r>
      <w:r w:rsidR="00DA509F">
        <w:rPr>
          <w:rFonts w:ascii="Calibri" w:eastAsia="Times New Roman" w:hAnsi="Calibri" w:cs="Calibri"/>
          <w:color w:val="222222"/>
          <w:lang w:eastAsia="en-CA"/>
        </w:rPr>
        <w:t xml:space="preserve"> and IHO</w:t>
      </w:r>
      <w:r>
        <w:rPr>
          <w:rFonts w:ascii="Calibri" w:eastAsia="Times New Roman" w:hAnsi="Calibri" w:cs="Calibri"/>
          <w:color w:val="222222"/>
          <w:lang w:eastAsia="en-CA"/>
        </w:rPr>
        <w:t xml:space="preserve"> ha</w:t>
      </w:r>
      <w:r w:rsidR="00DA509F">
        <w:rPr>
          <w:rFonts w:ascii="Calibri" w:eastAsia="Times New Roman" w:hAnsi="Calibri" w:cs="Calibri"/>
          <w:color w:val="222222"/>
          <w:lang w:eastAsia="en-CA"/>
        </w:rPr>
        <w:t>ve</w:t>
      </w:r>
      <w:r>
        <w:rPr>
          <w:rFonts w:ascii="Calibri" w:eastAsia="Times New Roman" w:hAnsi="Calibri" w:cs="Calibri"/>
          <w:color w:val="222222"/>
          <w:lang w:eastAsia="en-CA"/>
        </w:rPr>
        <w:t xml:space="preserve"> a non-discrimination policy for hiring and promotion, as well as ethics requirements for all employees.</w:t>
      </w:r>
    </w:p>
    <w:p w14:paraId="286E6718" w14:textId="24FE333D" w:rsidR="001F2D19" w:rsidRDefault="001F2D19" w:rsidP="00DC0F12">
      <w:pPr>
        <w:pStyle w:val="ListParagraph"/>
        <w:numPr>
          <w:ilvl w:val="0"/>
          <w:numId w:val="9"/>
        </w:numPr>
        <w:shd w:val="clear" w:color="auto" w:fill="FFFFFF"/>
        <w:spacing w:after="0" w:line="235" w:lineRule="atLeast"/>
        <w:ind w:left="697" w:hanging="357"/>
        <w:jc w:val="both"/>
        <w:rPr>
          <w:rFonts w:ascii="Calibri" w:eastAsia="Times New Roman" w:hAnsi="Calibri" w:cs="Calibri"/>
          <w:color w:val="222222"/>
          <w:lang w:eastAsia="en-CA"/>
        </w:rPr>
      </w:pPr>
      <w:r>
        <w:rPr>
          <w:rFonts w:ascii="Calibri" w:eastAsia="Times New Roman" w:hAnsi="Calibri" w:cs="Calibri"/>
          <w:color w:val="222222"/>
          <w:lang w:eastAsia="en-CA"/>
        </w:rPr>
        <w:t>INTEC</w:t>
      </w:r>
      <w:r w:rsidR="00DA509F">
        <w:rPr>
          <w:rFonts w:ascii="Calibri" w:eastAsia="Times New Roman" w:hAnsi="Calibri" w:cs="Calibri"/>
          <w:color w:val="222222"/>
          <w:lang w:eastAsia="en-CA"/>
        </w:rPr>
        <w:t xml:space="preserve"> and IHO</w:t>
      </w:r>
      <w:r>
        <w:rPr>
          <w:rFonts w:ascii="Calibri" w:eastAsia="Times New Roman" w:hAnsi="Calibri" w:cs="Calibri"/>
          <w:color w:val="222222"/>
          <w:lang w:eastAsia="en-CA"/>
        </w:rPr>
        <w:t xml:space="preserve"> ha</w:t>
      </w:r>
      <w:r w:rsidR="00DA509F">
        <w:rPr>
          <w:rFonts w:ascii="Calibri" w:eastAsia="Times New Roman" w:hAnsi="Calibri" w:cs="Calibri"/>
          <w:color w:val="222222"/>
          <w:lang w:eastAsia="en-CA"/>
        </w:rPr>
        <w:t>ve</w:t>
      </w:r>
      <w:r>
        <w:rPr>
          <w:rFonts w:ascii="Calibri" w:eastAsia="Times New Roman" w:hAnsi="Calibri" w:cs="Calibri"/>
          <w:color w:val="222222"/>
          <w:lang w:eastAsia="en-CA"/>
        </w:rPr>
        <w:t xml:space="preserve"> zero tolerance for harassment or discrimination of any form in the workplace.</w:t>
      </w:r>
    </w:p>
    <w:p w14:paraId="470073FE" w14:textId="03224298" w:rsidR="004B70DE" w:rsidRDefault="004B70DE" w:rsidP="004B70DE">
      <w:pPr>
        <w:shd w:val="clear" w:color="auto" w:fill="FFFFFF"/>
        <w:spacing w:after="0" w:line="235" w:lineRule="atLeast"/>
        <w:jc w:val="both"/>
        <w:rPr>
          <w:rFonts w:ascii="Calibri" w:eastAsia="Times New Roman" w:hAnsi="Calibri" w:cs="Calibri"/>
          <w:color w:val="222222"/>
          <w:lang w:eastAsia="en-CA"/>
        </w:rPr>
      </w:pPr>
    </w:p>
    <w:p w14:paraId="39032B22" w14:textId="77777777" w:rsidR="004B70DE" w:rsidRDefault="004B70DE" w:rsidP="004B70DE">
      <w:r>
        <w:t xml:space="preserve">The Project will also adhere to international guidelines related to Covid-19. These include: </w:t>
      </w:r>
    </w:p>
    <w:p w14:paraId="499A8D12" w14:textId="77777777" w:rsidR="004B70DE" w:rsidRPr="006378AF" w:rsidRDefault="00CA5582" w:rsidP="00DC0F12">
      <w:pPr>
        <w:pStyle w:val="ListParagraph"/>
        <w:numPr>
          <w:ilvl w:val="0"/>
          <w:numId w:val="7"/>
        </w:numPr>
        <w:spacing w:after="200" w:line="276" w:lineRule="auto"/>
      </w:pPr>
      <w:hyperlink r:id="rId12" w:history="1">
        <w:r w:rsidR="004B70DE" w:rsidRPr="006378AF">
          <w:rPr>
            <w:rStyle w:val="Hyperlink"/>
          </w:rPr>
          <w:t>ILO Occupational Safety and Health Convention, 1981 (No. 155)</w:t>
        </w:r>
      </w:hyperlink>
    </w:p>
    <w:p w14:paraId="4922BD96" w14:textId="77777777" w:rsidR="004B70DE" w:rsidRPr="006378AF" w:rsidRDefault="00CA5582" w:rsidP="00DC0F12">
      <w:pPr>
        <w:pStyle w:val="ListParagraph"/>
        <w:numPr>
          <w:ilvl w:val="0"/>
          <w:numId w:val="7"/>
        </w:numPr>
        <w:spacing w:after="200" w:line="276" w:lineRule="auto"/>
        <w:rPr>
          <w:rStyle w:val="Hyperlink"/>
        </w:rPr>
      </w:pPr>
      <w:hyperlink r:id="rId13" w:history="1">
        <w:r w:rsidR="004B70DE" w:rsidRPr="006378AF">
          <w:rPr>
            <w:rStyle w:val="Hyperlink"/>
          </w:rPr>
          <w:t>ILO Occupational Health Services Convention, 1985 (No. 161)</w:t>
        </w:r>
      </w:hyperlink>
    </w:p>
    <w:p w14:paraId="54CFF95C" w14:textId="77777777" w:rsidR="004B70DE" w:rsidRPr="006378AF" w:rsidRDefault="00CA5582" w:rsidP="00DC0F12">
      <w:pPr>
        <w:pStyle w:val="ListParagraph"/>
        <w:numPr>
          <w:ilvl w:val="0"/>
          <w:numId w:val="7"/>
        </w:numPr>
        <w:spacing w:after="200" w:line="276" w:lineRule="auto"/>
      </w:pPr>
      <w:hyperlink r:id="rId14" w:history="1">
        <w:r w:rsidR="004B70DE" w:rsidRPr="006378AF">
          <w:rPr>
            <w:rStyle w:val="Hyperlink"/>
          </w:rPr>
          <w:t>WHO International Health Regulations, 2005</w:t>
        </w:r>
      </w:hyperlink>
    </w:p>
    <w:p w14:paraId="499E1E68" w14:textId="77777777" w:rsidR="004B70DE" w:rsidRPr="006378AF" w:rsidRDefault="00CA5582" w:rsidP="00DC0F12">
      <w:pPr>
        <w:pStyle w:val="ListParagraph"/>
        <w:numPr>
          <w:ilvl w:val="0"/>
          <w:numId w:val="7"/>
        </w:numPr>
        <w:spacing w:after="200" w:line="276" w:lineRule="auto"/>
        <w:rPr>
          <w:rStyle w:val="Hyperlink"/>
        </w:rPr>
      </w:pPr>
      <w:hyperlink r:id="rId15" w:history="1">
        <w:r w:rsidR="004B70DE" w:rsidRPr="006378AF">
          <w:rPr>
            <w:rStyle w:val="Hyperlink"/>
          </w:rPr>
          <w:t>WHO Emergency Response Framework</w:t>
        </w:r>
      </w:hyperlink>
      <w:r w:rsidR="004B70DE" w:rsidRPr="006378AF">
        <w:rPr>
          <w:rStyle w:val="Hyperlink"/>
        </w:rPr>
        <w:t>, 2017</w:t>
      </w:r>
    </w:p>
    <w:p w14:paraId="385DC271" w14:textId="054345D8" w:rsidR="00555A81" w:rsidRPr="00555A81" w:rsidRDefault="004B70DE" w:rsidP="00555A81">
      <w:r w:rsidRPr="006378AF">
        <w:t xml:space="preserve">The project will also ensure that adherence is made to the WHO’s specific guidelines on Covid-19, along with the </w:t>
      </w:r>
      <w:r w:rsidR="00555A81" w:rsidRPr="00555A81">
        <w:t xml:space="preserve">Guidelines of the World Bank: </w:t>
      </w:r>
      <w:hyperlink r:id="rId16" w:history="1">
        <w:r w:rsidR="00555A81" w:rsidRPr="00555A81">
          <w:rPr>
            <w:rStyle w:val="Hyperlink"/>
          </w:rPr>
          <w:t>Technical Note: Public Consultations and Stakeholder Engagement in WB-supported operations when there are constraints on conducting public meetings, issued on March 20, 2020.</w:t>
        </w:r>
      </w:hyperlink>
    </w:p>
    <w:p w14:paraId="54616F99" w14:textId="77777777" w:rsidR="004B70DE" w:rsidRPr="004B70DE" w:rsidRDefault="004B70DE" w:rsidP="004B70DE">
      <w:pPr>
        <w:shd w:val="clear" w:color="auto" w:fill="FFFFFF"/>
        <w:spacing w:after="0" w:line="235" w:lineRule="atLeast"/>
        <w:jc w:val="both"/>
        <w:rPr>
          <w:rFonts w:ascii="Calibri" w:eastAsia="Times New Roman" w:hAnsi="Calibri" w:cs="Calibri"/>
          <w:color w:val="222222"/>
          <w:lang w:eastAsia="en-CA"/>
        </w:rPr>
      </w:pPr>
    </w:p>
    <w:p w14:paraId="580BBCEC" w14:textId="16BD7935" w:rsidR="00F46CB4" w:rsidRDefault="00F46CB4" w:rsidP="00F46CB4">
      <w:pPr>
        <w:spacing w:after="0"/>
        <w:rPr>
          <w:b/>
          <w:bCs/>
        </w:rPr>
      </w:pPr>
      <w:r w:rsidRPr="000145D8">
        <w:rPr>
          <w:b/>
          <w:bCs/>
        </w:rPr>
        <w:t xml:space="preserve">Table </w:t>
      </w:r>
      <w:r>
        <w:rPr>
          <w:b/>
          <w:bCs/>
        </w:rPr>
        <w:t xml:space="preserve">10.0 </w:t>
      </w:r>
      <w:r w:rsidRPr="00F46CB4">
        <w:t xml:space="preserve">outlines potential </w:t>
      </w:r>
      <w:proofErr w:type="spellStart"/>
      <w:r w:rsidRPr="00F46CB4">
        <w:t>labour</w:t>
      </w:r>
      <w:proofErr w:type="spellEnd"/>
      <w:r w:rsidRPr="00F46CB4">
        <w:t xml:space="preserve"> risks and mitigation measures</w:t>
      </w:r>
    </w:p>
    <w:p w14:paraId="72965F9C" w14:textId="77777777" w:rsidR="00705E8B" w:rsidRDefault="00705E8B">
      <w:pPr>
        <w:rPr>
          <w:highlight w:val="yellow"/>
        </w:rPr>
      </w:pPr>
    </w:p>
    <w:p w14:paraId="4AAF5733" w14:textId="60B71C06" w:rsidR="00B0231B" w:rsidRPr="00F46CB4" w:rsidRDefault="00B0231B" w:rsidP="00B0231B">
      <w:pPr>
        <w:pStyle w:val="Heading2"/>
        <w:rPr>
          <w:rFonts w:ascii="Times New Roman" w:eastAsia="Times New Roman" w:hAnsi="Times New Roman" w:cs="Times New Roman"/>
          <w:i w:val="0"/>
          <w:iCs/>
          <w:sz w:val="24"/>
          <w:szCs w:val="24"/>
          <w:lang w:eastAsia="en-CA"/>
        </w:rPr>
      </w:pPr>
      <w:bookmarkStart w:id="29" w:name="_Toc77191102"/>
      <w:r w:rsidRPr="00F46CB4">
        <w:rPr>
          <w:i w:val="0"/>
          <w:iCs/>
        </w:rPr>
        <w:t>Table 10.0: Potential Labor Risks and Mitigation Measures</w:t>
      </w:r>
      <w:bookmarkEnd w:id="29"/>
    </w:p>
    <w:tbl>
      <w:tblPr>
        <w:tblW w:w="0" w:type="auto"/>
        <w:tblCellMar>
          <w:left w:w="0" w:type="dxa"/>
          <w:right w:w="0" w:type="dxa"/>
        </w:tblCellMar>
        <w:tblLook w:val="04A0" w:firstRow="1" w:lastRow="0" w:firstColumn="1" w:lastColumn="0" w:noHBand="0" w:noVBand="1"/>
      </w:tblPr>
      <w:tblGrid>
        <w:gridCol w:w="2493"/>
        <w:gridCol w:w="1273"/>
        <w:gridCol w:w="1268"/>
        <w:gridCol w:w="2117"/>
        <w:gridCol w:w="2189"/>
      </w:tblGrid>
      <w:tr w:rsidR="00A969ED" w:rsidRPr="00577163" w14:paraId="5D7A7B2D" w14:textId="77777777" w:rsidTr="00115690">
        <w:trPr>
          <w:tblHeader/>
        </w:trPr>
        <w:tc>
          <w:tcPr>
            <w:tcW w:w="21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12EDF" w14:textId="77777777" w:rsidR="00B0231B" w:rsidRPr="00577163" w:rsidRDefault="00B0231B" w:rsidP="00115690">
            <w:pPr>
              <w:spacing w:after="0" w:line="240" w:lineRule="auto"/>
              <w:jc w:val="both"/>
              <w:rPr>
                <w:rFonts w:ascii="Calibri" w:eastAsia="Times New Roman" w:hAnsi="Calibri" w:cs="Calibri"/>
                <w:lang w:eastAsia="en-CA"/>
              </w:rPr>
            </w:pPr>
            <w:r w:rsidRPr="00577163">
              <w:rPr>
                <w:rFonts w:ascii="Calibri" w:eastAsia="Times New Roman" w:hAnsi="Calibri" w:cs="Calibri"/>
                <w:b/>
                <w:bCs/>
                <w:lang w:eastAsia="en-CA"/>
              </w:rPr>
              <w:t>Key labor risks</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5FF7B3" w14:textId="77777777" w:rsidR="00B0231B" w:rsidRPr="00577163" w:rsidRDefault="00B0231B" w:rsidP="00115690">
            <w:pPr>
              <w:spacing w:after="0" w:line="240" w:lineRule="auto"/>
              <w:jc w:val="both"/>
              <w:rPr>
                <w:rFonts w:ascii="Calibri" w:eastAsia="Times New Roman" w:hAnsi="Calibri" w:cs="Calibri"/>
                <w:lang w:eastAsia="en-CA"/>
              </w:rPr>
            </w:pPr>
            <w:r w:rsidRPr="00577163">
              <w:rPr>
                <w:rFonts w:ascii="Calibri" w:eastAsia="Times New Roman" w:hAnsi="Calibri" w:cs="Calibri"/>
                <w:b/>
                <w:bCs/>
                <w:lang w:eastAsia="en-CA"/>
              </w:rPr>
              <w:t>Risk probability</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AE944D" w14:textId="77777777" w:rsidR="00B0231B" w:rsidRPr="00577163" w:rsidRDefault="00B0231B" w:rsidP="00115690">
            <w:pPr>
              <w:spacing w:after="0" w:line="240" w:lineRule="auto"/>
              <w:jc w:val="both"/>
              <w:rPr>
                <w:rFonts w:ascii="Calibri" w:eastAsia="Times New Roman" w:hAnsi="Calibri" w:cs="Calibri"/>
                <w:lang w:eastAsia="en-CA"/>
              </w:rPr>
            </w:pPr>
            <w:r w:rsidRPr="00577163">
              <w:rPr>
                <w:rFonts w:ascii="Calibri" w:eastAsia="Times New Roman" w:hAnsi="Calibri" w:cs="Calibri"/>
                <w:b/>
                <w:bCs/>
                <w:lang w:eastAsia="en-CA"/>
              </w:rPr>
              <w:t>Risk severity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7C14A2" w14:textId="77777777" w:rsidR="00B0231B" w:rsidRPr="00577163" w:rsidRDefault="00B0231B" w:rsidP="00115690">
            <w:pPr>
              <w:spacing w:after="0" w:line="240" w:lineRule="auto"/>
              <w:jc w:val="both"/>
              <w:rPr>
                <w:rFonts w:ascii="Calibri" w:eastAsia="Times New Roman" w:hAnsi="Calibri" w:cs="Calibri"/>
                <w:lang w:eastAsia="en-CA"/>
              </w:rPr>
            </w:pPr>
            <w:r w:rsidRPr="00577163">
              <w:rPr>
                <w:rFonts w:ascii="Calibri" w:eastAsia="Times New Roman" w:hAnsi="Calibri" w:cs="Calibri"/>
                <w:b/>
                <w:bCs/>
                <w:lang w:eastAsia="en-CA"/>
              </w:rPr>
              <w:t>Description</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304958" w14:textId="77777777" w:rsidR="00B0231B" w:rsidRPr="00577163" w:rsidRDefault="00B0231B" w:rsidP="00115690">
            <w:pPr>
              <w:spacing w:after="0" w:line="240" w:lineRule="auto"/>
              <w:jc w:val="both"/>
              <w:rPr>
                <w:rFonts w:ascii="Calibri" w:eastAsia="Times New Roman" w:hAnsi="Calibri" w:cs="Calibri"/>
                <w:lang w:eastAsia="en-CA"/>
              </w:rPr>
            </w:pPr>
            <w:r w:rsidRPr="00577163">
              <w:rPr>
                <w:rFonts w:ascii="Calibri" w:eastAsia="Times New Roman" w:hAnsi="Calibri" w:cs="Calibri"/>
                <w:b/>
                <w:bCs/>
                <w:lang w:eastAsia="en-CA"/>
              </w:rPr>
              <w:t>Mitigation Measures</w:t>
            </w:r>
          </w:p>
        </w:tc>
      </w:tr>
      <w:tr w:rsidR="00A969ED" w:rsidRPr="00577163" w14:paraId="6BB135A4" w14:textId="77777777" w:rsidTr="00115690">
        <w:trPr>
          <w:trHeight w:val="1187"/>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44EC1"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Accidents (e.g., road traffic accidents</w:t>
            </w:r>
            <w:r>
              <w:rPr>
                <w:rFonts w:ascii="Calibri" w:eastAsia="Times New Roman" w:hAnsi="Calibri" w:cs="Calibri"/>
                <w:lang w:val="en-GB" w:eastAsia="en-CA"/>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1DE210B" w14:textId="77777777" w:rsidR="00B0231B" w:rsidRPr="00577163" w:rsidRDefault="00B0231B" w:rsidP="00115690">
            <w:pPr>
              <w:spacing w:after="0" w:line="240" w:lineRule="auto"/>
              <w:rPr>
                <w:rFonts w:ascii="Calibri" w:eastAsia="Times New Roman" w:hAnsi="Calibri" w:cs="Calibri"/>
                <w:lang w:eastAsia="en-CA"/>
              </w:rPr>
            </w:pPr>
            <w:r>
              <w:rPr>
                <w:rFonts w:ascii="Calibri" w:eastAsia="Times New Roman" w:hAnsi="Calibri" w:cs="Calibri"/>
                <w:lang w:val="en-GB" w:eastAsia="en-CA"/>
              </w:rPr>
              <w:t>Medium</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1A6A884" w14:textId="605A8994" w:rsidR="00B0231B" w:rsidRPr="00577163" w:rsidRDefault="002A48B6" w:rsidP="00115690">
            <w:pPr>
              <w:spacing w:after="0" w:line="240" w:lineRule="auto"/>
              <w:rPr>
                <w:rFonts w:ascii="Calibri" w:eastAsia="Times New Roman" w:hAnsi="Calibri" w:cs="Calibri"/>
                <w:lang w:eastAsia="en-CA"/>
              </w:rPr>
            </w:pPr>
            <w:r>
              <w:rPr>
                <w:rFonts w:ascii="Calibri" w:eastAsia="Times New Roman" w:hAnsi="Calibri" w:cs="Calibri"/>
                <w:lang w:val="en-GB" w:eastAsia="en-CA"/>
              </w:rPr>
              <w:t>High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4DDB0784" w14:textId="39EF0AFB" w:rsidR="00B0231B"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val="en-GB" w:eastAsia="en-CA"/>
              </w:rPr>
              <w:t>Project personnel will travel by road from Santo Domingo to communities around priority KBAs. Traffic accidents are common on Dominican roads.</w:t>
            </w:r>
          </w:p>
          <w:p w14:paraId="59211883" w14:textId="77777777" w:rsidR="00B0231B" w:rsidRDefault="00B0231B" w:rsidP="00115690">
            <w:pPr>
              <w:spacing w:after="0" w:line="240" w:lineRule="auto"/>
              <w:rPr>
                <w:rFonts w:ascii="Calibri" w:eastAsia="Times New Roman" w:hAnsi="Calibri" w:cs="Calibri"/>
                <w:lang w:val="en-GB" w:eastAsia="en-CA"/>
              </w:rPr>
            </w:pPr>
          </w:p>
          <w:p w14:paraId="219BC42B" w14:textId="6CEE129A" w:rsidR="00B0231B" w:rsidRPr="00BE3863"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val="en-GB" w:eastAsia="en-CA"/>
              </w:rPr>
              <w:t>Project personnel will travel by road to communities around priority KBAs in Antigua and Barbuda. Traffic accidents are common on Antiguan roads.</w:t>
            </w:r>
            <w:r w:rsidRPr="00BE3863">
              <w:rPr>
                <w:rFonts w:ascii="Calibri" w:eastAsia="Times New Roman" w:hAnsi="Calibri" w:cs="Calibri"/>
                <w:lang w:val="en-GB" w:eastAsia="en-CA"/>
              </w:rPr>
              <w:t xml:space="preserve"> </w:t>
            </w:r>
            <w:r w:rsidRPr="00577163">
              <w:rPr>
                <w:rFonts w:ascii="Calibri" w:eastAsia="Times New Roman" w:hAnsi="Calibri" w:cs="Calibri"/>
                <w:lang w:val="en-GB" w:eastAsia="en-CA"/>
              </w:rPr>
              <w:t>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3247EA51" w14:textId="77777777" w:rsidR="00A969ED" w:rsidRDefault="00B0231B" w:rsidP="00115690">
            <w:pPr>
              <w:spacing w:after="0" w:line="240" w:lineRule="auto"/>
              <w:rPr>
                <w:rFonts w:ascii="Calibri" w:eastAsia="Times New Roman" w:hAnsi="Calibri" w:cs="Calibri"/>
                <w:lang w:eastAsia="en-CA"/>
              </w:rPr>
            </w:pPr>
            <w:r>
              <w:rPr>
                <w:rFonts w:ascii="Calibri" w:eastAsia="Times New Roman" w:hAnsi="Calibri" w:cs="Calibri"/>
                <w:lang w:eastAsia="en-CA"/>
              </w:rPr>
              <w:t xml:space="preserve">INTEC´s vehicles are maintained in good condition and covered by liability insurance that includes passengers and third parties (required by local law). Drivers are well trained. </w:t>
            </w:r>
            <w:r w:rsidR="00A969ED">
              <w:rPr>
                <w:rFonts w:ascii="Calibri" w:eastAsia="Times New Roman" w:hAnsi="Calibri" w:cs="Calibri"/>
                <w:lang w:eastAsia="en-CA"/>
              </w:rPr>
              <w:t xml:space="preserve">Protocols are in place to reinforce safety procedures. </w:t>
            </w:r>
          </w:p>
          <w:p w14:paraId="733AE07A" w14:textId="77777777" w:rsidR="00A969ED" w:rsidRDefault="00A969ED" w:rsidP="00115690">
            <w:pPr>
              <w:spacing w:after="0" w:line="240" w:lineRule="auto"/>
              <w:rPr>
                <w:rFonts w:ascii="Calibri" w:eastAsia="Times New Roman" w:hAnsi="Calibri" w:cs="Calibri"/>
                <w:lang w:eastAsia="en-CA"/>
              </w:rPr>
            </w:pPr>
          </w:p>
          <w:p w14:paraId="656040E5" w14:textId="5033EDE9" w:rsidR="00B0231B" w:rsidRDefault="00B0231B" w:rsidP="00115690">
            <w:pPr>
              <w:spacing w:after="0" w:line="240" w:lineRule="auto"/>
              <w:rPr>
                <w:rFonts w:ascii="Calibri" w:eastAsia="Times New Roman" w:hAnsi="Calibri" w:cs="Calibri"/>
                <w:lang w:eastAsia="en-CA"/>
              </w:rPr>
            </w:pPr>
            <w:r>
              <w:rPr>
                <w:rFonts w:ascii="Calibri" w:eastAsia="Times New Roman" w:hAnsi="Calibri" w:cs="Calibri"/>
                <w:lang w:eastAsia="en-CA"/>
              </w:rPr>
              <w:t xml:space="preserve">Compensation for work related injuries includes those incurred during travel.  </w:t>
            </w:r>
          </w:p>
          <w:p w14:paraId="6710D949" w14:textId="77777777" w:rsidR="00B0231B" w:rsidRDefault="00B0231B" w:rsidP="00115690">
            <w:pPr>
              <w:spacing w:after="0" w:line="240" w:lineRule="auto"/>
              <w:rPr>
                <w:rFonts w:ascii="Calibri" w:eastAsia="Times New Roman" w:hAnsi="Calibri" w:cs="Calibri"/>
                <w:lang w:eastAsia="en-CA"/>
              </w:rPr>
            </w:pPr>
          </w:p>
          <w:p w14:paraId="6FC174F8" w14:textId="38A68388" w:rsidR="00B0231B" w:rsidRPr="00577163" w:rsidRDefault="00B0231B" w:rsidP="00115690">
            <w:pPr>
              <w:spacing w:after="0" w:line="240" w:lineRule="auto"/>
              <w:rPr>
                <w:rFonts w:ascii="Calibri" w:eastAsia="Times New Roman" w:hAnsi="Calibri" w:cs="Calibri"/>
                <w:lang w:eastAsia="en-CA"/>
              </w:rPr>
            </w:pPr>
          </w:p>
        </w:tc>
      </w:tr>
      <w:tr w:rsidR="00A969ED" w:rsidRPr="00577163" w14:paraId="438CABD0" w14:textId="77777777" w:rsidTr="00234217">
        <w:trPr>
          <w:trHeight w:val="1187"/>
        </w:trPr>
        <w:tc>
          <w:tcPr>
            <w:tcW w:w="215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0863D5FC" w14:textId="77777777" w:rsidR="00B0231B" w:rsidRPr="00577163" w:rsidRDefault="00B0231B" w:rsidP="00234217">
            <w:pPr>
              <w:rPr>
                <w:lang w:val="en-GB" w:eastAsia="en-CA"/>
              </w:rPr>
            </w:pPr>
            <w:r>
              <w:rPr>
                <w:lang w:val="en-GB" w:eastAsia="en-CA"/>
              </w:rPr>
              <w:t>Health emergencies</w:t>
            </w:r>
          </w:p>
        </w:tc>
        <w:tc>
          <w:tcPr>
            <w:tcW w:w="13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914CC55" w14:textId="77777777" w:rsidR="00B0231B" w:rsidRDefault="00B0231B" w:rsidP="00234217">
            <w:pPr>
              <w:rPr>
                <w:lang w:val="en-GB" w:eastAsia="en-CA"/>
              </w:rPr>
            </w:pPr>
            <w:r>
              <w:rPr>
                <w:lang w:val="en-GB" w:eastAsia="en-CA"/>
              </w:rPr>
              <w:t>Low</w:t>
            </w:r>
          </w:p>
        </w:tc>
        <w:tc>
          <w:tcPr>
            <w:tcW w:w="135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DEFC407" w14:textId="506640D4" w:rsidR="00B0231B" w:rsidRDefault="002A48B6" w:rsidP="00234217">
            <w:pPr>
              <w:rPr>
                <w:lang w:val="en-GB" w:eastAsia="en-CA"/>
              </w:rPr>
            </w:pPr>
            <w:r>
              <w:rPr>
                <w:lang w:val="en-GB" w:eastAsia="en-CA"/>
              </w:rPr>
              <w:t>High</w:t>
            </w:r>
          </w:p>
        </w:tc>
        <w:tc>
          <w:tcPr>
            <w:tcW w:w="216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4010CA" w14:textId="063CE550" w:rsidR="00B0231B" w:rsidRDefault="005530FF" w:rsidP="00234217">
            <w:pPr>
              <w:rPr>
                <w:lang w:val="en-GB" w:eastAsia="en-CA"/>
              </w:rPr>
            </w:pPr>
            <w:r>
              <w:rPr>
                <w:lang w:val="en-GB" w:eastAsia="en-CA"/>
              </w:rPr>
              <w:t xml:space="preserve">Covid-19 related health emergencies &amp; </w:t>
            </w:r>
            <w:r w:rsidR="00234217">
              <w:rPr>
                <w:lang w:val="en-GB" w:eastAsia="en-CA"/>
              </w:rPr>
              <w:t>standard</w:t>
            </w:r>
            <w:r>
              <w:rPr>
                <w:lang w:val="en-GB" w:eastAsia="en-CA"/>
              </w:rPr>
              <w:t xml:space="preserve"> health risks such as the flu, etc.</w:t>
            </w:r>
          </w:p>
        </w:tc>
        <w:tc>
          <w:tcPr>
            <w:tcW w:w="233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D103D4" w14:textId="50E03ECE" w:rsidR="00B0231B" w:rsidRDefault="005530FF" w:rsidP="00234217">
            <w:pPr>
              <w:rPr>
                <w:lang w:eastAsia="en-CA"/>
              </w:rPr>
            </w:pPr>
            <w:r>
              <w:rPr>
                <w:lang w:eastAsia="en-CA"/>
              </w:rPr>
              <w:t>INTEC &amp; IHO staff are covered by national health insurance.</w:t>
            </w:r>
            <w:r w:rsidR="00705E8B">
              <w:rPr>
                <w:lang w:eastAsia="en-CA"/>
              </w:rPr>
              <w:t xml:space="preserve"> Protocols will be </w:t>
            </w:r>
            <w:r w:rsidR="00705E8B" w:rsidRPr="004A54EF">
              <w:rPr>
                <w:lang w:val="en-CA" w:eastAsia="en-CA"/>
              </w:rPr>
              <w:t>enforce</w:t>
            </w:r>
            <w:r w:rsidR="00705E8B" w:rsidRPr="00705E8B">
              <w:t>d</w:t>
            </w:r>
            <w:r w:rsidR="00705E8B" w:rsidRPr="004A54EF">
              <w:rPr>
                <w:lang w:val="en-CA" w:eastAsia="en-CA"/>
              </w:rPr>
              <w:t xml:space="preserve"> to prevent </w:t>
            </w:r>
            <w:r w:rsidR="00705E8B" w:rsidRPr="00705E8B">
              <w:t xml:space="preserve">staff </w:t>
            </w:r>
            <w:r w:rsidR="00705E8B" w:rsidRPr="004A54EF">
              <w:rPr>
                <w:lang w:val="en-CA" w:eastAsia="en-CA"/>
              </w:rPr>
              <w:t>from getting ill.</w:t>
            </w:r>
            <w:r w:rsidR="00705E8B" w:rsidRPr="004A54EF">
              <w:rPr>
                <w:rFonts w:ascii="Roboto" w:eastAsia="Times New Roman" w:hAnsi="Roboto" w:cs="Times New Roman"/>
                <w:color w:val="201F1E"/>
                <w:sz w:val="24"/>
                <w:szCs w:val="24"/>
                <w:lang w:val="en-CA" w:eastAsia="en-CA"/>
              </w:rPr>
              <w:t xml:space="preserve"> </w:t>
            </w:r>
          </w:p>
        </w:tc>
      </w:tr>
      <w:tr w:rsidR="00A969ED" w:rsidRPr="00577163" w14:paraId="536B3B30" w14:textId="77777777" w:rsidTr="00115690">
        <w:trPr>
          <w:trHeight w:val="728"/>
        </w:trPr>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83590"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Hydrometeorological events (hurricanes, tropical storms) and other natural disasters, including earthquakes and volcanic eruptions</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E1B9779"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High</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38EE5B6" w14:textId="77777777" w:rsidR="00B0231B" w:rsidRPr="00577163" w:rsidRDefault="00B0231B" w:rsidP="00115690">
            <w:pPr>
              <w:spacing w:after="0" w:line="240" w:lineRule="auto"/>
              <w:rPr>
                <w:rFonts w:ascii="Calibri" w:eastAsia="Times New Roman" w:hAnsi="Calibri" w:cs="Calibri"/>
                <w:lang w:eastAsia="en-CA"/>
              </w:rPr>
            </w:pPr>
            <w:r>
              <w:rPr>
                <w:rFonts w:ascii="Calibri" w:eastAsia="Times New Roman" w:hAnsi="Calibri" w:cs="Calibri"/>
                <w:lang w:val="en-GB" w:eastAsia="en-CA"/>
              </w:rPr>
              <w:t>Medium</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C0F2833" w14:textId="6E75517E"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xml:space="preserve">Over the life of the </w:t>
            </w:r>
            <w:r>
              <w:rPr>
                <w:rFonts w:ascii="Calibri" w:eastAsia="Times New Roman" w:hAnsi="Calibri" w:cs="Calibri"/>
                <w:lang w:val="en-GB" w:eastAsia="en-CA"/>
              </w:rPr>
              <w:t>four</w:t>
            </w:r>
            <w:r w:rsidRPr="00577163">
              <w:rPr>
                <w:rFonts w:ascii="Calibri" w:eastAsia="Times New Roman" w:hAnsi="Calibri" w:cs="Calibri"/>
                <w:lang w:val="en-GB" w:eastAsia="en-CA"/>
              </w:rPr>
              <w:t>-year project, one or more of the target countries could be severely impacted by a hydrometeorological event or other natural disasters. The Caribbean region is up to seven times more likely to experience a natural disaster than larger states, and when one occurs, it incurs as much as six times more damage.</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0C85DF08" w14:textId="779ADB29" w:rsidR="00B0231B"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eastAsia="en-CA"/>
              </w:rPr>
              <w:t xml:space="preserve">INTEC has procedures in place for </w:t>
            </w:r>
            <w:r>
              <w:rPr>
                <w:rFonts w:ascii="Calibri" w:eastAsia="Times New Roman" w:hAnsi="Calibri" w:cs="Calibri"/>
                <w:lang w:val="en-GB" w:eastAsia="en-CA"/>
              </w:rPr>
              <w:t>b</w:t>
            </w:r>
            <w:r w:rsidRPr="00577163">
              <w:rPr>
                <w:rFonts w:ascii="Calibri" w:eastAsia="Times New Roman" w:hAnsi="Calibri" w:cs="Calibri"/>
                <w:lang w:val="en-GB" w:eastAsia="en-CA"/>
              </w:rPr>
              <w:t xml:space="preserve">usiness </w:t>
            </w:r>
            <w:r>
              <w:rPr>
                <w:rFonts w:ascii="Calibri" w:eastAsia="Times New Roman" w:hAnsi="Calibri" w:cs="Calibri"/>
                <w:lang w:val="en-GB" w:eastAsia="en-CA"/>
              </w:rPr>
              <w:t>continuity in the event of hydrometeorological events. Work on Campus in Santo Domingo is not likely to be affected by any but the most severe storms. IHO staff can work remotely and not be affected by anything but severe storms.</w:t>
            </w:r>
          </w:p>
          <w:p w14:paraId="06C9F9B8" w14:textId="77777777" w:rsidR="00B0231B" w:rsidRDefault="00B0231B" w:rsidP="00115690">
            <w:pPr>
              <w:spacing w:after="0" w:line="240" w:lineRule="auto"/>
              <w:rPr>
                <w:rFonts w:ascii="Calibri" w:eastAsia="Times New Roman" w:hAnsi="Calibri" w:cs="Calibri"/>
                <w:lang w:val="en-GB" w:eastAsia="en-CA"/>
              </w:rPr>
            </w:pPr>
          </w:p>
          <w:p w14:paraId="0D7DCA15" w14:textId="77777777" w:rsidR="00B0231B"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val="en-GB" w:eastAsia="en-CA"/>
              </w:rPr>
              <w:t>INTEC has in place a meteorological alert system coordinated with national emergency management agencies, which will be used to ensure activities in KBAs will conducted only when safe to do so.</w:t>
            </w:r>
          </w:p>
          <w:p w14:paraId="2DBE50FC" w14:textId="77777777" w:rsidR="00B0231B" w:rsidRDefault="00B0231B" w:rsidP="00115690">
            <w:pPr>
              <w:spacing w:after="0" w:line="240" w:lineRule="auto"/>
              <w:rPr>
                <w:rFonts w:ascii="Calibri" w:eastAsia="Times New Roman" w:hAnsi="Calibri" w:cs="Calibri"/>
                <w:lang w:val="en-GB" w:eastAsia="en-CA"/>
              </w:rPr>
            </w:pPr>
          </w:p>
          <w:p w14:paraId="7935A6B7" w14:textId="77777777" w:rsidR="00B0231B"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val="en-GB" w:eastAsia="en-CA"/>
              </w:rPr>
              <w:t>Policies and procedures are in place for working from home is needed.</w:t>
            </w:r>
          </w:p>
          <w:p w14:paraId="1A49AC26" w14:textId="77777777" w:rsidR="00B0231B" w:rsidRPr="00D76AA0" w:rsidRDefault="00B0231B" w:rsidP="00115690">
            <w:pPr>
              <w:spacing w:after="0" w:line="240" w:lineRule="auto"/>
              <w:rPr>
                <w:rFonts w:ascii="Calibri" w:eastAsia="Times New Roman" w:hAnsi="Calibri" w:cs="Calibri"/>
                <w:lang w:val="en-GB" w:eastAsia="en-CA"/>
              </w:rPr>
            </w:pPr>
          </w:p>
          <w:p w14:paraId="175DF66A"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eastAsia="en-CA"/>
              </w:rPr>
              <w:t>Regional travel to be scheduled, insofar as possible, outside the Caribbean's hurricane season (June to November).</w:t>
            </w:r>
          </w:p>
          <w:p w14:paraId="0AC2F45D"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eastAsia="en-CA"/>
              </w:rPr>
              <w:t> </w:t>
            </w:r>
          </w:p>
          <w:p w14:paraId="74253B92"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eastAsia="en-CA"/>
              </w:rPr>
              <w:t xml:space="preserve">Use of adaptive management and flexibility in </w:t>
            </w:r>
            <w:r>
              <w:rPr>
                <w:rFonts w:ascii="Calibri" w:eastAsia="Times New Roman" w:hAnsi="Calibri" w:cs="Calibri"/>
                <w:lang w:eastAsia="en-CA"/>
              </w:rPr>
              <w:t>activities</w:t>
            </w:r>
            <w:r w:rsidRPr="00577163">
              <w:rPr>
                <w:rFonts w:ascii="Calibri" w:eastAsia="Times New Roman" w:hAnsi="Calibri" w:cs="Calibri"/>
                <w:lang w:eastAsia="en-CA"/>
              </w:rPr>
              <w:t xml:space="preserve"> in response to changing situations.</w:t>
            </w:r>
          </w:p>
        </w:tc>
      </w:tr>
      <w:tr w:rsidR="00A969ED" w:rsidRPr="00577163" w14:paraId="27FCF47E" w14:textId="77777777" w:rsidTr="00115690">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A70AF" w14:textId="3A82B954"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xml:space="preserve">Workplace injuries at </w:t>
            </w:r>
            <w:r>
              <w:rPr>
                <w:rFonts w:ascii="Calibri" w:eastAsia="Times New Roman" w:hAnsi="Calibri" w:cs="Calibri"/>
                <w:lang w:val="en-GB" w:eastAsia="en-CA"/>
              </w:rPr>
              <w:t>INTEC</w:t>
            </w:r>
            <w:r w:rsidRPr="00577163">
              <w:rPr>
                <w:rFonts w:ascii="Calibri" w:eastAsia="Times New Roman" w:hAnsi="Calibri" w:cs="Calibri"/>
                <w:lang w:val="en-GB" w:eastAsia="en-CA"/>
              </w:rPr>
              <w:t xml:space="preserve"> </w:t>
            </w:r>
            <w:r w:rsidR="00E1464A">
              <w:rPr>
                <w:rFonts w:ascii="Calibri" w:eastAsia="Times New Roman" w:hAnsi="Calibri" w:cs="Calibri"/>
                <w:lang w:val="en-GB" w:eastAsia="en-CA"/>
              </w:rPr>
              <w:t xml:space="preserve">or IHO’s </w:t>
            </w:r>
            <w:r w:rsidRPr="00577163">
              <w:rPr>
                <w:rFonts w:ascii="Calibri" w:eastAsia="Times New Roman" w:hAnsi="Calibri" w:cs="Calibri"/>
                <w:lang w:val="en-GB" w:eastAsia="en-CA"/>
              </w:rPr>
              <w:t>offices</w:t>
            </w:r>
          </w:p>
          <w:p w14:paraId="1851D805"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or remote work locations</w:t>
            </w:r>
          </w:p>
          <w:p w14:paraId="16D9079E"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05FD09"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Low</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3C9046E"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Low</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11BBD8B7"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6E759568" w14:textId="4FF9FC4B"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xml:space="preserve">All </w:t>
            </w:r>
            <w:r>
              <w:rPr>
                <w:rFonts w:ascii="Calibri" w:eastAsia="Times New Roman" w:hAnsi="Calibri" w:cs="Calibri"/>
                <w:lang w:val="en-GB" w:eastAsia="en-CA"/>
              </w:rPr>
              <w:t>INTEC</w:t>
            </w:r>
            <w:r w:rsidRPr="00577163">
              <w:rPr>
                <w:rFonts w:ascii="Calibri" w:eastAsia="Times New Roman" w:hAnsi="Calibri" w:cs="Calibri"/>
                <w:lang w:val="en-GB" w:eastAsia="en-CA"/>
              </w:rPr>
              <w:t xml:space="preserve"> </w:t>
            </w:r>
            <w:r>
              <w:rPr>
                <w:rFonts w:ascii="Calibri" w:eastAsia="Times New Roman" w:hAnsi="Calibri" w:cs="Calibri"/>
                <w:lang w:val="en-GB" w:eastAsia="en-CA"/>
              </w:rPr>
              <w:t>and IHO staff</w:t>
            </w:r>
            <w:r w:rsidRPr="00577163">
              <w:rPr>
                <w:rFonts w:ascii="Calibri" w:eastAsia="Times New Roman" w:hAnsi="Calibri" w:cs="Calibri"/>
                <w:lang w:val="en-GB" w:eastAsia="en-CA"/>
              </w:rPr>
              <w:t xml:space="preserve"> are entitled to compensation for occupational illness or injury under </w:t>
            </w:r>
            <w:r>
              <w:rPr>
                <w:rFonts w:ascii="Calibri" w:eastAsia="Times New Roman" w:hAnsi="Calibri" w:cs="Calibri"/>
                <w:lang w:val="en-GB" w:eastAsia="en-CA"/>
              </w:rPr>
              <w:t>Dominican law and Antiguan law respectively.</w:t>
            </w:r>
          </w:p>
          <w:p w14:paraId="2FF1A813"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w:t>
            </w:r>
          </w:p>
          <w:p w14:paraId="49F264B4" w14:textId="77777777" w:rsidR="00B0231B"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val="en-GB" w:eastAsia="en-CA"/>
              </w:rPr>
              <w:t>INTEC</w:t>
            </w:r>
            <w:r w:rsidRPr="00577163">
              <w:rPr>
                <w:rFonts w:ascii="Calibri" w:eastAsia="Times New Roman" w:hAnsi="Calibri" w:cs="Calibri"/>
                <w:lang w:val="en-GB" w:eastAsia="en-CA"/>
              </w:rPr>
              <w:t xml:space="preserve"> Health and Safety Plan </w:t>
            </w:r>
            <w:r>
              <w:rPr>
                <w:rFonts w:ascii="Calibri" w:eastAsia="Times New Roman" w:hAnsi="Calibri" w:cs="Calibri"/>
                <w:lang w:val="en-GB" w:eastAsia="en-CA"/>
              </w:rPr>
              <w:t>was originally approved in 2017 and it´s revised regularly.</w:t>
            </w:r>
          </w:p>
          <w:p w14:paraId="043FAEDD" w14:textId="77777777" w:rsidR="00705E8B" w:rsidRDefault="00705E8B" w:rsidP="00115690">
            <w:pPr>
              <w:spacing w:after="0" w:line="240" w:lineRule="auto"/>
              <w:rPr>
                <w:rFonts w:ascii="Calibri" w:eastAsia="Times New Roman" w:hAnsi="Calibri" w:cs="Calibri"/>
                <w:lang w:val="en-GB" w:eastAsia="en-CA"/>
              </w:rPr>
            </w:pPr>
          </w:p>
          <w:p w14:paraId="64C9ACF4" w14:textId="00804A35" w:rsidR="00705E8B" w:rsidRPr="00577163" w:rsidRDefault="00705E8B" w:rsidP="00115690">
            <w:pPr>
              <w:spacing w:after="0" w:line="240" w:lineRule="auto"/>
              <w:rPr>
                <w:rFonts w:ascii="Calibri" w:eastAsia="Times New Roman" w:hAnsi="Calibri" w:cs="Calibri"/>
                <w:lang w:eastAsia="en-CA"/>
              </w:rPr>
            </w:pPr>
            <w:r>
              <w:rPr>
                <w:rFonts w:ascii="Calibri" w:eastAsia="Times New Roman" w:hAnsi="Calibri" w:cs="Calibri"/>
                <w:lang w:val="en-GB" w:eastAsia="en-CA"/>
              </w:rPr>
              <w:t xml:space="preserve">Protocols </w:t>
            </w:r>
            <w:r w:rsidR="00A969ED">
              <w:rPr>
                <w:rFonts w:ascii="Calibri" w:eastAsia="Times New Roman" w:hAnsi="Calibri" w:cs="Calibri"/>
                <w:lang w:val="en-GB" w:eastAsia="en-CA"/>
              </w:rPr>
              <w:t xml:space="preserve">will be reinforced and </w:t>
            </w:r>
            <w:r>
              <w:rPr>
                <w:rFonts w:ascii="Calibri" w:eastAsia="Times New Roman" w:hAnsi="Calibri" w:cs="Calibri"/>
                <w:lang w:val="en-GB" w:eastAsia="en-CA"/>
              </w:rPr>
              <w:t>implemented to ensure safety and prevent injury</w:t>
            </w:r>
            <w:r w:rsidR="00A969ED">
              <w:rPr>
                <w:rFonts w:ascii="Calibri" w:eastAsia="Times New Roman" w:hAnsi="Calibri" w:cs="Calibri"/>
                <w:lang w:val="en-GB" w:eastAsia="en-CA"/>
              </w:rPr>
              <w:t>.</w:t>
            </w:r>
          </w:p>
        </w:tc>
      </w:tr>
      <w:tr w:rsidR="00A969ED" w:rsidRPr="00577163" w14:paraId="0DC76742" w14:textId="77777777" w:rsidTr="00115690">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3C562C"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Discrimination and/or</w:t>
            </w:r>
          </w:p>
          <w:p w14:paraId="5BC2AC00"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harassment in the workplace</w:t>
            </w:r>
          </w:p>
          <w:p w14:paraId="564D69EB"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E5481D"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Low</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10C8861" w14:textId="0D7E8569" w:rsidR="00B0231B" w:rsidRPr="00577163" w:rsidRDefault="008D1795" w:rsidP="00115690">
            <w:pPr>
              <w:spacing w:after="0" w:line="240" w:lineRule="auto"/>
              <w:rPr>
                <w:rFonts w:ascii="Calibri" w:eastAsia="Times New Roman" w:hAnsi="Calibri" w:cs="Calibri"/>
                <w:lang w:eastAsia="en-CA"/>
              </w:rPr>
            </w:pPr>
            <w:r>
              <w:rPr>
                <w:rFonts w:ascii="Calibri" w:eastAsia="Times New Roman" w:hAnsi="Calibri" w:cs="Calibri"/>
                <w:lang w:val="en-GB" w:eastAsia="en-CA"/>
              </w:rPr>
              <w:t>High</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38D8D737"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3DD86651" w14:textId="146BC26C" w:rsidR="00A969ED" w:rsidRDefault="00B0231B" w:rsidP="00115690">
            <w:pPr>
              <w:spacing w:after="0" w:line="240" w:lineRule="auto"/>
              <w:rPr>
                <w:rFonts w:ascii="Calibri" w:eastAsia="Times New Roman" w:hAnsi="Calibri" w:cs="Calibri"/>
                <w:lang w:val="en-GB" w:eastAsia="en-CA"/>
              </w:rPr>
            </w:pPr>
            <w:r w:rsidRPr="00577163">
              <w:rPr>
                <w:rFonts w:ascii="Calibri" w:eastAsia="Times New Roman" w:hAnsi="Calibri" w:cs="Calibri"/>
                <w:lang w:val="en-GB" w:eastAsia="en-CA"/>
              </w:rPr>
              <w:t xml:space="preserve">Discrimination and workplace harassment </w:t>
            </w:r>
            <w:r w:rsidR="00705E8B">
              <w:rPr>
                <w:rFonts w:ascii="Calibri" w:eastAsia="Times New Roman" w:hAnsi="Calibri" w:cs="Calibri"/>
                <w:lang w:val="en-GB" w:eastAsia="en-CA"/>
              </w:rPr>
              <w:t xml:space="preserve">are </w:t>
            </w:r>
            <w:r w:rsidRPr="00577163">
              <w:rPr>
                <w:rFonts w:ascii="Calibri" w:eastAsia="Times New Roman" w:hAnsi="Calibri" w:cs="Calibri"/>
                <w:lang w:val="en-GB" w:eastAsia="en-CA"/>
              </w:rPr>
              <w:t xml:space="preserve">addressed by </w:t>
            </w:r>
            <w:r>
              <w:rPr>
                <w:rFonts w:ascii="Calibri" w:eastAsia="Times New Roman" w:hAnsi="Calibri" w:cs="Calibri"/>
                <w:lang w:val="en-GB" w:eastAsia="en-CA"/>
              </w:rPr>
              <w:t>INTEC´s</w:t>
            </w:r>
            <w:r w:rsidR="00E1464A">
              <w:rPr>
                <w:rFonts w:ascii="Calibri" w:eastAsia="Times New Roman" w:hAnsi="Calibri" w:cs="Calibri"/>
                <w:lang w:val="en-GB" w:eastAsia="en-CA"/>
              </w:rPr>
              <w:t xml:space="preserve"> and IHO’s</w:t>
            </w:r>
            <w:r>
              <w:rPr>
                <w:rFonts w:ascii="Calibri" w:eastAsia="Times New Roman" w:hAnsi="Calibri" w:cs="Calibri"/>
                <w:lang w:val="en-GB" w:eastAsia="en-CA"/>
              </w:rPr>
              <w:t xml:space="preserve"> polic</w:t>
            </w:r>
            <w:r w:rsidR="00E1464A">
              <w:rPr>
                <w:rFonts w:ascii="Calibri" w:eastAsia="Times New Roman" w:hAnsi="Calibri" w:cs="Calibri"/>
                <w:lang w:val="en-GB" w:eastAsia="en-CA"/>
              </w:rPr>
              <w:t>ies</w:t>
            </w:r>
            <w:r w:rsidR="00705E8B">
              <w:rPr>
                <w:rFonts w:ascii="Calibri" w:eastAsia="Times New Roman" w:hAnsi="Calibri" w:cs="Calibri"/>
                <w:lang w:val="en-GB" w:eastAsia="en-CA"/>
              </w:rPr>
              <w:t xml:space="preserve">. </w:t>
            </w:r>
          </w:p>
          <w:p w14:paraId="050E7554" w14:textId="77777777" w:rsidR="00A969ED" w:rsidRDefault="00A969ED" w:rsidP="00115690">
            <w:pPr>
              <w:spacing w:after="0" w:line="240" w:lineRule="auto"/>
              <w:rPr>
                <w:rFonts w:ascii="Calibri" w:eastAsia="Times New Roman" w:hAnsi="Calibri" w:cs="Calibri"/>
                <w:lang w:val="en-GB" w:eastAsia="en-CA"/>
              </w:rPr>
            </w:pPr>
          </w:p>
          <w:p w14:paraId="38D793EA" w14:textId="14DD9A0E" w:rsidR="00B0231B" w:rsidRPr="00577163" w:rsidRDefault="00A969ED" w:rsidP="00115690">
            <w:pPr>
              <w:spacing w:after="0" w:line="240" w:lineRule="auto"/>
              <w:rPr>
                <w:rFonts w:ascii="Calibri" w:eastAsia="Times New Roman" w:hAnsi="Calibri" w:cs="Calibri"/>
                <w:lang w:eastAsia="en-CA"/>
              </w:rPr>
            </w:pPr>
            <w:r>
              <w:rPr>
                <w:rFonts w:ascii="Calibri" w:eastAsia="Times New Roman" w:hAnsi="Calibri" w:cs="Calibri"/>
                <w:lang w:val="en-GB" w:eastAsia="en-CA"/>
              </w:rPr>
              <w:t xml:space="preserve">All staff </w:t>
            </w:r>
            <w:r w:rsidR="00B0231B">
              <w:rPr>
                <w:rFonts w:ascii="Calibri" w:eastAsia="Times New Roman" w:hAnsi="Calibri" w:cs="Calibri"/>
                <w:lang w:val="en-GB" w:eastAsia="en-CA"/>
              </w:rPr>
              <w:t>receives induction on relevant policies</w:t>
            </w:r>
            <w:r w:rsidR="00B0231B" w:rsidRPr="00577163">
              <w:rPr>
                <w:rFonts w:ascii="Calibri" w:eastAsia="Times New Roman" w:hAnsi="Calibri" w:cs="Calibri"/>
                <w:lang w:val="en-GB" w:eastAsia="en-CA"/>
              </w:rPr>
              <w:t>.</w:t>
            </w:r>
            <w:r w:rsidR="00705E8B">
              <w:rPr>
                <w:rFonts w:ascii="Calibri" w:eastAsia="Times New Roman" w:hAnsi="Calibri" w:cs="Calibri"/>
                <w:lang w:val="en-GB" w:eastAsia="en-CA"/>
              </w:rPr>
              <w:t xml:space="preserve"> </w:t>
            </w:r>
            <w:r>
              <w:rPr>
                <w:rFonts w:ascii="Calibri" w:eastAsia="Times New Roman" w:hAnsi="Calibri" w:cs="Calibri"/>
                <w:lang w:val="en-GB" w:eastAsia="en-CA"/>
              </w:rPr>
              <w:t>These will be reinforced and implemented through ongoing staff training.</w:t>
            </w:r>
          </w:p>
          <w:p w14:paraId="41524FAD" w14:textId="77777777" w:rsidR="00B0231B" w:rsidRPr="00577163" w:rsidRDefault="00B0231B" w:rsidP="00115690">
            <w:pPr>
              <w:spacing w:after="0" w:line="240" w:lineRule="auto"/>
              <w:rPr>
                <w:rFonts w:ascii="Calibri" w:eastAsia="Times New Roman" w:hAnsi="Calibri" w:cs="Calibri"/>
                <w:lang w:eastAsia="en-CA"/>
              </w:rPr>
            </w:pPr>
          </w:p>
        </w:tc>
      </w:tr>
      <w:tr w:rsidR="00A969ED" w:rsidRPr="00577163" w14:paraId="4470CC75" w14:textId="77777777" w:rsidTr="00115690">
        <w:tc>
          <w:tcPr>
            <w:tcW w:w="21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D1066D"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Contraction/transmission of COVID-19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EF046F6"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High</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2DF0A28"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Substantial</w:t>
            </w:r>
          </w:p>
        </w:tc>
        <w:tc>
          <w:tcPr>
            <w:tcW w:w="2160" w:type="dxa"/>
            <w:tcBorders>
              <w:top w:val="nil"/>
              <w:left w:val="nil"/>
              <w:bottom w:val="single" w:sz="8" w:space="0" w:color="auto"/>
              <w:right w:val="single" w:sz="8" w:space="0" w:color="auto"/>
            </w:tcBorders>
            <w:tcMar>
              <w:top w:w="0" w:type="dxa"/>
              <w:left w:w="108" w:type="dxa"/>
              <w:bottom w:w="0" w:type="dxa"/>
              <w:right w:w="108" w:type="dxa"/>
            </w:tcMar>
            <w:hideMark/>
          </w:tcPr>
          <w:p w14:paraId="5195829D"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All Caribbean countries have been affected by the COVID-19 pandemic, though to differing degrees. Countries are similarly moving towards recovery at differing paces. All countries remain vulnerable to a change in their national situation.</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6FC091F5"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Non-essential travel deferred, and face-to-face interactions discouraged, in alignment with national guidelines and protocols.</w:t>
            </w:r>
          </w:p>
          <w:p w14:paraId="49AC4470" w14:textId="77777777" w:rsidR="00B0231B" w:rsidRPr="00577163" w:rsidRDefault="00B0231B" w:rsidP="00115690">
            <w:pPr>
              <w:spacing w:after="0" w:line="240" w:lineRule="auto"/>
              <w:rPr>
                <w:rFonts w:ascii="Calibri" w:eastAsia="Times New Roman" w:hAnsi="Calibri" w:cs="Calibri"/>
                <w:lang w:eastAsia="en-CA"/>
              </w:rPr>
            </w:pPr>
            <w:r w:rsidRPr="00577163">
              <w:rPr>
                <w:rFonts w:ascii="Calibri" w:eastAsia="Times New Roman" w:hAnsi="Calibri" w:cs="Calibri"/>
                <w:lang w:val="en-GB" w:eastAsia="en-CA"/>
              </w:rPr>
              <w:t> </w:t>
            </w:r>
          </w:p>
          <w:p w14:paraId="70CA4DD5" w14:textId="4557578A" w:rsidR="00B0231B" w:rsidRDefault="00B0231B" w:rsidP="00115690">
            <w:pPr>
              <w:spacing w:after="0" w:line="240" w:lineRule="auto"/>
              <w:rPr>
                <w:rFonts w:ascii="Calibri" w:eastAsia="Times New Roman" w:hAnsi="Calibri" w:cs="Calibri"/>
                <w:lang w:val="en-GB" w:eastAsia="en-CA"/>
              </w:rPr>
            </w:pPr>
            <w:r>
              <w:rPr>
                <w:rFonts w:ascii="Calibri" w:eastAsia="Times New Roman" w:hAnsi="Calibri" w:cs="Calibri"/>
                <w:lang w:val="en-GB" w:eastAsia="en-CA"/>
              </w:rPr>
              <w:t>INTEC</w:t>
            </w:r>
            <w:r w:rsidRPr="00577163">
              <w:rPr>
                <w:rFonts w:ascii="Calibri" w:eastAsia="Times New Roman" w:hAnsi="Calibri" w:cs="Calibri"/>
                <w:lang w:val="en-GB" w:eastAsia="en-CA"/>
              </w:rPr>
              <w:t xml:space="preserve"> has developed COVID-19 guidelines for working in the office, events, public gatherings</w:t>
            </w:r>
            <w:r w:rsidR="00E1464A">
              <w:rPr>
                <w:rFonts w:ascii="Calibri" w:eastAsia="Times New Roman" w:hAnsi="Calibri" w:cs="Calibri"/>
                <w:lang w:val="en-GB" w:eastAsia="en-CA"/>
              </w:rPr>
              <w:t>,</w:t>
            </w:r>
            <w:r w:rsidRPr="00577163">
              <w:rPr>
                <w:rFonts w:ascii="Calibri" w:eastAsia="Times New Roman" w:hAnsi="Calibri" w:cs="Calibri"/>
                <w:lang w:val="en-GB" w:eastAsia="en-CA"/>
              </w:rPr>
              <w:t xml:space="preserve"> and travel. These guidelines are reviewed and updated regularly.</w:t>
            </w:r>
            <w:r>
              <w:rPr>
                <w:rFonts w:ascii="Calibri" w:eastAsia="Times New Roman" w:hAnsi="Calibri" w:cs="Calibri"/>
                <w:lang w:val="en-GB" w:eastAsia="en-CA"/>
              </w:rPr>
              <w:t xml:space="preserve"> </w:t>
            </w:r>
            <w:r w:rsidR="00E1464A">
              <w:rPr>
                <w:rFonts w:ascii="Calibri" w:eastAsia="Times New Roman" w:hAnsi="Calibri" w:cs="Calibri"/>
                <w:lang w:val="en-GB" w:eastAsia="en-CA"/>
              </w:rPr>
              <w:t xml:space="preserve">IHO has similar guidelines. </w:t>
            </w:r>
            <w:r>
              <w:rPr>
                <w:rFonts w:ascii="Calibri" w:eastAsia="Times New Roman" w:hAnsi="Calibri" w:cs="Calibri"/>
                <w:lang w:val="en-GB" w:eastAsia="en-CA"/>
              </w:rPr>
              <w:t xml:space="preserve">All current INTEC </w:t>
            </w:r>
            <w:r w:rsidR="00A969ED">
              <w:rPr>
                <w:rFonts w:ascii="Calibri" w:eastAsia="Times New Roman" w:hAnsi="Calibri" w:cs="Calibri"/>
                <w:lang w:val="en-GB" w:eastAsia="en-CA"/>
              </w:rPr>
              <w:t>and</w:t>
            </w:r>
            <w:r w:rsidR="00E1464A">
              <w:rPr>
                <w:rFonts w:ascii="Calibri" w:eastAsia="Times New Roman" w:hAnsi="Calibri" w:cs="Calibri"/>
                <w:lang w:val="en-GB" w:eastAsia="en-CA"/>
              </w:rPr>
              <w:t xml:space="preserve"> IHO </w:t>
            </w:r>
            <w:r>
              <w:rPr>
                <w:rFonts w:ascii="Calibri" w:eastAsia="Times New Roman" w:hAnsi="Calibri" w:cs="Calibri"/>
                <w:lang w:val="en-GB" w:eastAsia="en-CA"/>
              </w:rPr>
              <w:t xml:space="preserve">staff </w:t>
            </w:r>
            <w:r w:rsidR="00E1464A">
              <w:rPr>
                <w:rFonts w:ascii="Calibri" w:eastAsia="Times New Roman" w:hAnsi="Calibri" w:cs="Calibri"/>
                <w:lang w:val="en-GB" w:eastAsia="en-CA"/>
              </w:rPr>
              <w:t>are</w:t>
            </w:r>
            <w:r>
              <w:rPr>
                <w:rFonts w:ascii="Calibri" w:eastAsia="Times New Roman" w:hAnsi="Calibri" w:cs="Calibri"/>
                <w:lang w:val="en-GB" w:eastAsia="en-CA"/>
              </w:rPr>
              <w:t xml:space="preserve"> fully vaccinated.</w:t>
            </w:r>
          </w:p>
          <w:p w14:paraId="1C18D9B8" w14:textId="77777777" w:rsidR="00B0231B" w:rsidRDefault="00B0231B" w:rsidP="00115690">
            <w:pPr>
              <w:spacing w:after="0" w:line="240" w:lineRule="auto"/>
              <w:rPr>
                <w:rFonts w:ascii="Calibri" w:eastAsia="Times New Roman" w:hAnsi="Calibri" w:cs="Calibri"/>
                <w:lang w:eastAsia="en-CA"/>
              </w:rPr>
            </w:pPr>
          </w:p>
          <w:p w14:paraId="00652CB5" w14:textId="58F25D28" w:rsidR="00B0231B" w:rsidRPr="00D76AA0" w:rsidRDefault="00B0231B" w:rsidP="00115690">
            <w:pPr>
              <w:spacing w:after="0" w:line="240" w:lineRule="auto"/>
              <w:rPr>
                <w:rFonts w:ascii="Calibri" w:eastAsia="Times New Roman" w:hAnsi="Calibri" w:cs="Calibri"/>
                <w:lang w:eastAsia="en-CA"/>
              </w:rPr>
            </w:pPr>
            <w:r>
              <w:rPr>
                <w:rFonts w:ascii="Calibri" w:eastAsia="Times New Roman" w:hAnsi="Calibri" w:cs="Calibri"/>
                <w:lang w:eastAsia="en-CA"/>
              </w:rPr>
              <w:t xml:space="preserve">Work outside the DR </w:t>
            </w:r>
            <w:r w:rsidR="00E1464A">
              <w:rPr>
                <w:rFonts w:ascii="Calibri" w:eastAsia="Times New Roman" w:hAnsi="Calibri" w:cs="Calibri"/>
                <w:lang w:eastAsia="en-CA"/>
              </w:rPr>
              <w:t xml:space="preserve">and A&amp;B </w:t>
            </w:r>
            <w:r>
              <w:rPr>
                <w:rFonts w:ascii="Calibri" w:eastAsia="Times New Roman" w:hAnsi="Calibri" w:cs="Calibri"/>
                <w:lang w:eastAsia="en-CA"/>
              </w:rPr>
              <w:t>will follow national/local government guidelines, as appropriate; as well as WHO recommendations</w:t>
            </w:r>
            <w:r w:rsidR="00705E8B">
              <w:rPr>
                <w:rFonts w:ascii="Calibri" w:eastAsia="Times New Roman" w:hAnsi="Calibri" w:cs="Calibri"/>
                <w:lang w:eastAsia="en-CA"/>
              </w:rPr>
              <w:t xml:space="preserve"> and </w:t>
            </w:r>
            <w:r w:rsidR="00705E8B" w:rsidRPr="00555A81">
              <w:t>Guidelines of the World Bank</w:t>
            </w:r>
            <w:r>
              <w:rPr>
                <w:rFonts w:ascii="Calibri" w:eastAsia="Times New Roman" w:hAnsi="Calibri" w:cs="Calibri"/>
                <w:lang w:eastAsia="en-CA"/>
              </w:rPr>
              <w:t>.</w:t>
            </w:r>
            <w:r w:rsidR="00705E8B">
              <w:rPr>
                <w:rFonts w:ascii="Calibri" w:eastAsia="Times New Roman" w:hAnsi="Calibri" w:cs="Calibri"/>
                <w:lang w:eastAsia="en-CA"/>
              </w:rPr>
              <w:t xml:space="preserve"> </w:t>
            </w:r>
          </w:p>
        </w:tc>
      </w:tr>
    </w:tbl>
    <w:p w14:paraId="366080E5" w14:textId="77777777" w:rsidR="00B0231B" w:rsidRDefault="00B0231B" w:rsidP="00B0231B"/>
    <w:p w14:paraId="3D9D18B2" w14:textId="77777777" w:rsidR="00F53D5F" w:rsidRPr="006655D8" w:rsidRDefault="00F53D5F" w:rsidP="001F2D19">
      <w:pPr>
        <w:pStyle w:val="Heading1"/>
      </w:pPr>
      <w:bookmarkStart w:id="30" w:name="_Toc76399752"/>
      <w:bookmarkStart w:id="31" w:name="_Toc77191103"/>
      <w:bookmarkStart w:id="32" w:name="_Toc49946106"/>
      <w:r w:rsidRPr="00A120B0">
        <w:t xml:space="preserve">Brief </w:t>
      </w:r>
      <w:r w:rsidRPr="00F53D5F">
        <w:t>overview</w:t>
      </w:r>
      <w:r w:rsidRPr="00A120B0">
        <w:t xml:space="preserve"> of legislation: terms and conditions</w:t>
      </w:r>
      <w:bookmarkEnd w:id="30"/>
      <w:bookmarkEnd w:id="31"/>
    </w:p>
    <w:p w14:paraId="4EC93776" w14:textId="27346B13" w:rsidR="00F53D5F" w:rsidRDefault="00F53D5F" w:rsidP="00F53D5F">
      <w:pPr>
        <w:spacing w:after="0"/>
        <w:jc w:val="both"/>
      </w:pPr>
      <w:r>
        <w:t xml:space="preserve">Table 11.0 sets out the key aspects of national labor legislation in all project countries. Direct workers will be employed in the Dominican Republic and Antigua and Barbuda. Direct workers will be paid </w:t>
      </w:r>
      <w:proofErr w:type="gramStart"/>
      <w:r>
        <w:t>on a monthly basis</w:t>
      </w:r>
      <w:proofErr w:type="gramEnd"/>
      <w:r>
        <w:t xml:space="preserve"> in compliance with national laws and labor management procedures. Statutory deductions from wages will comply with national laws; direct project workers will be informed of the conditions under which such deductions will be made. </w:t>
      </w:r>
      <w:r>
        <w:tab/>
      </w:r>
      <w:r>
        <w:br/>
      </w:r>
    </w:p>
    <w:p w14:paraId="186178B2" w14:textId="781509D5" w:rsidR="00F53D5F" w:rsidRPr="00F46CB4" w:rsidRDefault="00F53D5F" w:rsidP="006A3932">
      <w:pPr>
        <w:pStyle w:val="Heading2"/>
        <w:rPr>
          <w:i w:val="0"/>
          <w:iCs/>
        </w:rPr>
      </w:pPr>
      <w:bookmarkStart w:id="33" w:name="_Toc77191104"/>
      <w:r w:rsidRPr="00F46CB4">
        <w:rPr>
          <w:i w:val="0"/>
          <w:iCs/>
        </w:rPr>
        <w:t xml:space="preserve">Table </w:t>
      </w:r>
      <w:r w:rsidR="006A3932" w:rsidRPr="00F46CB4">
        <w:rPr>
          <w:i w:val="0"/>
          <w:iCs/>
        </w:rPr>
        <w:t xml:space="preserve">11.0: </w:t>
      </w:r>
      <w:r w:rsidRPr="00F46CB4">
        <w:rPr>
          <w:i w:val="0"/>
          <w:iCs/>
        </w:rPr>
        <w:t>National labor legislation relevant to ESS2 in project countries</w:t>
      </w:r>
      <w:bookmarkEnd w:id="33"/>
    </w:p>
    <w:tbl>
      <w:tblPr>
        <w:tblStyle w:val="TableGrid"/>
        <w:tblW w:w="9355" w:type="dxa"/>
        <w:tblLook w:val="04A0" w:firstRow="1" w:lastRow="0" w:firstColumn="1" w:lastColumn="0" w:noHBand="0" w:noVBand="1"/>
      </w:tblPr>
      <w:tblGrid>
        <w:gridCol w:w="1713"/>
        <w:gridCol w:w="82"/>
        <w:gridCol w:w="2683"/>
        <w:gridCol w:w="4877"/>
      </w:tblGrid>
      <w:tr w:rsidR="00F53D5F" w:rsidRPr="00991E5F" w14:paraId="3EB8BD0B" w14:textId="77777777" w:rsidTr="00115690">
        <w:trPr>
          <w:cantSplit/>
          <w:tblHeader/>
        </w:trPr>
        <w:tc>
          <w:tcPr>
            <w:tcW w:w="1713" w:type="dxa"/>
          </w:tcPr>
          <w:p w14:paraId="6E5FFB6F" w14:textId="77777777" w:rsidR="00F53D5F" w:rsidRPr="00991E5F" w:rsidRDefault="00F53D5F" w:rsidP="00115690">
            <w:pPr>
              <w:rPr>
                <w:b/>
                <w:bCs/>
              </w:rPr>
            </w:pPr>
            <w:r>
              <w:rPr>
                <w:b/>
                <w:bCs/>
              </w:rPr>
              <w:t>Country</w:t>
            </w:r>
          </w:p>
        </w:tc>
        <w:tc>
          <w:tcPr>
            <w:tcW w:w="2765" w:type="dxa"/>
            <w:gridSpan w:val="2"/>
          </w:tcPr>
          <w:p w14:paraId="733DC90F" w14:textId="77777777" w:rsidR="00F53D5F" w:rsidRPr="00991E5F" w:rsidRDefault="00F53D5F" w:rsidP="00115690">
            <w:pPr>
              <w:rPr>
                <w:b/>
                <w:bCs/>
              </w:rPr>
            </w:pPr>
            <w:r>
              <w:rPr>
                <w:b/>
                <w:bCs/>
              </w:rPr>
              <w:t>Law</w:t>
            </w:r>
          </w:p>
        </w:tc>
        <w:tc>
          <w:tcPr>
            <w:tcW w:w="4877" w:type="dxa"/>
          </w:tcPr>
          <w:p w14:paraId="2457287B" w14:textId="77777777" w:rsidR="00F53D5F" w:rsidRPr="00991E5F" w:rsidRDefault="00F53D5F" w:rsidP="00115690">
            <w:pPr>
              <w:rPr>
                <w:b/>
                <w:bCs/>
              </w:rPr>
            </w:pPr>
            <w:r w:rsidRPr="00991E5F">
              <w:rPr>
                <w:b/>
                <w:bCs/>
              </w:rPr>
              <w:t xml:space="preserve">Relevance to </w:t>
            </w:r>
            <w:r>
              <w:rPr>
                <w:b/>
                <w:bCs/>
              </w:rPr>
              <w:t>ESS2</w:t>
            </w:r>
          </w:p>
        </w:tc>
      </w:tr>
      <w:tr w:rsidR="00F53D5F" w14:paraId="5981BA28" w14:textId="77777777" w:rsidTr="00115690">
        <w:tc>
          <w:tcPr>
            <w:tcW w:w="1713" w:type="dxa"/>
          </w:tcPr>
          <w:p w14:paraId="503917FA" w14:textId="77777777" w:rsidR="00F53D5F" w:rsidRDefault="00F53D5F" w:rsidP="00115690">
            <w:r>
              <w:t>Antigua and Barbuda</w:t>
            </w:r>
          </w:p>
        </w:tc>
        <w:tc>
          <w:tcPr>
            <w:tcW w:w="2765" w:type="dxa"/>
            <w:gridSpan w:val="2"/>
          </w:tcPr>
          <w:p w14:paraId="3959A883" w14:textId="77777777" w:rsidR="00F53D5F" w:rsidRDefault="00F53D5F" w:rsidP="00115690">
            <w:r w:rsidRPr="00A6761F">
              <w:t>Disabilities and Equal Opportunities Act</w:t>
            </w:r>
            <w:r>
              <w:t xml:space="preserve"> (</w:t>
            </w:r>
            <w:r w:rsidRPr="00A6761F">
              <w:t>2017</w:t>
            </w:r>
            <w:r>
              <w:t>)</w:t>
            </w:r>
          </w:p>
        </w:tc>
        <w:tc>
          <w:tcPr>
            <w:tcW w:w="4877" w:type="dxa"/>
          </w:tcPr>
          <w:p w14:paraId="3FA28980" w14:textId="77777777" w:rsidR="00F53D5F" w:rsidRDefault="00F53D5F" w:rsidP="00115690">
            <w:r>
              <w:t>E</w:t>
            </w:r>
            <w:r w:rsidRPr="00A6761F">
              <w:t>xpound</w:t>
            </w:r>
            <w:r>
              <w:t>s</w:t>
            </w:r>
            <w:r w:rsidRPr="00A6761F">
              <w:t xml:space="preserve"> the principles of equality and non</w:t>
            </w:r>
            <w:r>
              <w:t>-</w:t>
            </w:r>
            <w:r w:rsidRPr="00A6761F">
              <w:t>discrimination in relation to persons with disabilities</w:t>
            </w:r>
            <w:r>
              <w:t>.</w:t>
            </w:r>
          </w:p>
        </w:tc>
      </w:tr>
      <w:tr w:rsidR="00F53D5F" w14:paraId="4A739543" w14:textId="77777777" w:rsidTr="00115690">
        <w:tc>
          <w:tcPr>
            <w:tcW w:w="1713" w:type="dxa"/>
          </w:tcPr>
          <w:p w14:paraId="60CF7562" w14:textId="77777777" w:rsidR="00F53D5F" w:rsidRPr="00991E5F" w:rsidRDefault="00F53D5F" w:rsidP="00115690">
            <w:r>
              <w:t>Antigua and Barbuda</w:t>
            </w:r>
          </w:p>
        </w:tc>
        <w:tc>
          <w:tcPr>
            <w:tcW w:w="2765" w:type="dxa"/>
            <w:gridSpan w:val="2"/>
          </w:tcPr>
          <w:p w14:paraId="11D71D2D" w14:textId="77777777" w:rsidR="00F53D5F" w:rsidRDefault="00F53D5F" w:rsidP="00115690">
            <w:r>
              <w:t xml:space="preserve">The Antigua and Barbuda </w:t>
            </w:r>
            <w:proofErr w:type="spellStart"/>
            <w:r>
              <w:t>Labour</w:t>
            </w:r>
            <w:proofErr w:type="spellEnd"/>
            <w:r>
              <w:t xml:space="preserve"> Code (1975; amended)</w:t>
            </w:r>
          </w:p>
        </w:tc>
        <w:tc>
          <w:tcPr>
            <w:tcW w:w="4877" w:type="dxa"/>
          </w:tcPr>
          <w:p w14:paraId="04870265" w14:textId="77777777" w:rsidR="00F53D5F" w:rsidRDefault="00F53D5F" w:rsidP="00115690">
            <w:r w:rsidRPr="00E415A0">
              <w:t>Brings together all major legislation applicable to employment standards and industrial relations.</w:t>
            </w:r>
            <w:r>
              <w:t xml:space="preserve"> </w:t>
            </w:r>
            <w:r w:rsidRPr="00A6761F">
              <w:t>Proh</w:t>
            </w:r>
            <w:r>
              <w:t>i</w:t>
            </w:r>
            <w:r w:rsidRPr="00A6761F">
              <w:t xml:space="preserve">bits the employment of children </w:t>
            </w:r>
            <w:r>
              <w:t xml:space="preserve">and young persons </w:t>
            </w:r>
            <w:r w:rsidRPr="00A6761F">
              <w:t>under the age of 1</w:t>
            </w:r>
            <w:r>
              <w:t xml:space="preserve">6 </w:t>
            </w:r>
            <w:r w:rsidRPr="00A6761F">
              <w:t>years</w:t>
            </w:r>
            <w:r>
              <w:t xml:space="preserve"> and places restrictions on employment of young persons under the age of 18</w:t>
            </w:r>
            <w:r w:rsidRPr="00A6761F">
              <w:t>.</w:t>
            </w:r>
          </w:p>
        </w:tc>
      </w:tr>
      <w:tr w:rsidR="00F53D5F" w:rsidRPr="002A3F0A" w14:paraId="7612E322" w14:textId="77777777" w:rsidTr="00115690">
        <w:tc>
          <w:tcPr>
            <w:tcW w:w="1713" w:type="dxa"/>
          </w:tcPr>
          <w:p w14:paraId="0594F0CF" w14:textId="77777777" w:rsidR="00F53D5F" w:rsidRDefault="00F53D5F" w:rsidP="00115690">
            <w:r>
              <w:t>Dominican Republic</w:t>
            </w:r>
          </w:p>
        </w:tc>
        <w:tc>
          <w:tcPr>
            <w:tcW w:w="2765" w:type="dxa"/>
            <w:gridSpan w:val="2"/>
          </w:tcPr>
          <w:p w14:paraId="3DE6D9FD" w14:textId="76A768D8" w:rsidR="00F53D5F" w:rsidRPr="002A3F0A" w:rsidRDefault="00C81747" w:rsidP="00115690">
            <w:r>
              <w:t>Presidential Decree 522-06 on Occupational Health and Safety</w:t>
            </w:r>
          </w:p>
        </w:tc>
        <w:tc>
          <w:tcPr>
            <w:tcW w:w="4877" w:type="dxa"/>
          </w:tcPr>
          <w:p w14:paraId="5C459FDE" w14:textId="77777777" w:rsidR="00F53D5F" w:rsidRPr="002A3F0A" w:rsidRDefault="00F53D5F" w:rsidP="00115690">
            <w:r>
              <w:t>Establishes standards for occupational health and safety.</w:t>
            </w:r>
          </w:p>
        </w:tc>
      </w:tr>
      <w:tr w:rsidR="00F53D5F" w:rsidRPr="00942772" w14:paraId="566A32DE" w14:textId="77777777" w:rsidTr="00115690">
        <w:tc>
          <w:tcPr>
            <w:tcW w:w="1713" w:type="dxa"/>
          </w:tcPr>
          <w:p w14:paraId="4DA0873C" w14:textId="77777777" w:rsidR="00F53D5F" w:rsidRPr="002A3F0A" w:rsidRDefault="00F53D5F" w:rsidP="00115690">
            <w:r>
              <w:t>Dominican Republic</w:t>
            </w:r>
          </w:p>
        </w:tc>
        <w:tc>
          <w:tcPr>
            <w:tcW w:w="2765" w:type="dxa"/>
            <w:gridSpan w:val="2"/>
          </w:tcPr>
          <w:p w14:paraId="2270FA9D" w14:textId="0F6E1C8F" w:rsidR="00F53D5F" w:rsidRPr="00942772" w:rsidRDefault="00F53D5F" w:rsidP="00115690">
            <w:r>
              <w:t>Labor Code of the Dominican Republic (</w:t>
            </w:r>
            <w:r w:rsidR="00C81747">
              <w:t>Law 16 from 1992</w:t>
            </w:r>
            <w:r>
              <w:t>)</w:t>
            </w:r>
          </w:p>
        </w:tc>
        <w:tc>
          <w:tcPr>
            <w:tcW w:w="4877" w:type="dxa"/>
          </w:tcPr>
          <w:p w14:paraId="634B2F80" w14:textId="77777777" w:rsidR="00F53D5F" w:rsidRPr="00942772" w:rsidRDefault="00F53D5F" w:rsidP="00115690">
            <w:r>
              <w:t xml:space="preserve">Provides for regulation of </w:t>
            </w:r>
            <w:r w:rsidRPr="00E415A0">
              <w:t>industrial relations</w:t>
            </w:r>
            <w:r>
              <w:t xml:space="preserve"> and establishes </w:t>
            </w:r>
            <w:r w:rsidRPr="00E415A0">
              <w:t>employment standards</w:t>
            </w:r>
            <w:r>
              <w:t xml:space="preserve">, including </w:t>
            </w:r>
            <w:proofErr w:type="gramStart"/>
            <w:r>
              <w:t>with regard to</w:t>
            </w:r>
            <w:proofErr w:type="gramEnd"/>
            <w:r>
              <w:t xml:space="preserve"> employment of children. Specifically, the code p</w:t>
            </w:r>
            <w:r w:rsidRPr="00A6761F">
              <w:t>roh</w:t>
            </w:r>
            <w:r>
              <w:t>i</w:t>
            </w:r>
            <w:r w:rsidRPr="00A6761F">
              <w:t>bits the employment of children under the age of 1</w:t>
            </w:r>
            <w:r>
              <w:t xml:space="preserve">4 </w:t>
            </w:r>
            <w:r w:rsidRPr="00A6761F">
              <w:t>years</w:t>
            </w:r>
            <w:r>
              <w:t xml:space="preserve"> and places restrictions on employment of young persons under the age of 18</w:t>
            </w:r>
            <w:r w:rsidRPr="00A6761F">
              <w:t>.</w:t>
            </w:r>
          </w:p>
        </w:tc>
      </w:tr>
      <w:tr w:rsidR="00C81747" w:rsidRPr="00942772" w14:paraId="45AA42ED" w14:textId="77777777" w:rsidTr="00115690">
        <w:tc>
          <w:tcPr>
            <w:tcW w:w="1713" w:type="dxa"/>
          </w:tcPr>
          <w:p w14:paraId="1CDC6CC0" w14:textId="08B50A33" w:rsidR="00C81747" w:rsidRDefault="00C81747" w:rsidP="00115690">
            <w:r>
              <w:t>Dominican Republic</w:t>
            </w:r>
          </w:p>
        </w:tc>
        <w:tc>
          <w:tcPr>
            <w:tcW w:w="2765" w:type="dxa"/>
            <w:gridSpan w:val="2"/>
          </w:tcPr>
          <w:p w14:paraId="4F44CF9A" w14:textId="243C6D5C" w:rsidR="00C81747" w:rsidRDefault="00C81747" w:rsidP="00115690">
            <w:r>
              <w:t>Law 87-01 on Social Security and Presidential Decree 548-03 which regulates national insurance for labor related injuries</w:t>
            </w:r>
          </w:p>
        </w:tc>
        <w:tc>
          <w:tcPr>
            <w:tcW w:w="4877" w:type="dxa"/>
          </w:tcPr>
          <w:p w14:paraId="1DDD1639" w14:textId="5BA036C6" w:rsidR="00C81747" w:rsidRDefault="00C81747" w:rsidP="00115690">
            <w:r>
              <w:t xml:space="preserve">All workers in the DR are legally entitled to compensation from </w:t>
            </w:r>
            <w:r w:rsidR="007937BA">
              <w:t>the</w:t>
            </w:r>
            <w:r>
              <w:t xml:space="preserve"> national insurance on labor related injuries.</w:t>
            </w:r>
          </w:p>
        </w:tc>
      </w:tr>
      <w:tr w:rsidR="00D37884" w:rsidRPr="00942772" w14:paraId="0DF7D993" w14:textId="77777777" w:rsidTr="00230913">
        <w:tc>
          <w:tcPr>
            <w:tcW w:w="1795" w:type="dxa"/>
            <w:gridSpan w:val="2"/>
          </w:tcPr>
          <w:p w14:paraId="3A331C86" w14:textId="77777777" w:rsidR="00D37884" w:rsidRDefault="00D37884" w:rsidP="00230913">
            <w:r>
              <w:t>Dominican Republic</w:t>
            </w:r>
          </w:p>
        </w:tc>
        <w:tc>
          <w:tcPr>
            <w:tcW w:w="2683" w:type="dxa"/>
          </w:tcPr>
          <w:p w14:paraId="55DA25FB" w14:textId="77777777" w:rsidR="00D37884" w:rsidRDefault="00D37884" w:rsidP="00230913">
            <w:r>
              <w:t xml:space="preserve">Agreements of the International </w:t>
            </w:r>
            <w:proofErr w:type="spellStart"/>
            <w:r>
              <w:t>Labour</w:t>
            </w:r>
            <w:proofErr w:type="spellEnd"/>
            <w:r>
              <w:t xml:space="preserve"> Organization </w:t>
            </w:r>
          </w:p>
        </w:tc>
        <w:tc>
          <w:tcPr>
            <w:tcW w:w="4877" w:type="dxa"/>
          </w:tcPr>
          <w:p w14:paraId="2CEFFE34" w14:textId="77777777" w:rsidR="00D37884" w:rsidRDefault="00D37884" w:rsidP="00230913">
            <w:r>
              <w:t xml:space="preserve">The Dominican Republic Congress have ratified (and thus turned into national law) agreements of the International </w:t>
            </w:r>
            <w:proofErr w:type="spellStart"/>
            <w:r>
              <w:t>Labour</w:t>
            </w:r>
            <w:proofErr w:type="spellEnd"/>
            <w:r>
              <w:t xml:space="preserve"> Organization, including those related to occupational health and safety, </w:t>
            </w:r>
            <w:proofErr w:type="gramStart"/>
            <w:r>
              <w:t>discrimination</w:t>
            </w:r>
            <w:proofErr w:type="gramEnd"/>
            <w:r>
              <w:t xml:space="preserve"> and harassment. </w:t>
            </w:r>
          </w:p>
        </w:tc>
      </w:tr>
      <w:tr w:rsidR="00C81747" w14:paraId="354ED1DB" w14:textId="77777777" w:rsidTr="00C81747">
        <w:tc>
          <w:tcPr>
            <w:tcW w:w="1713" w:type="dxa"/>
            <w:hideMark/>
          </w:tcPr>
          <w:p w14:paraId="01B5FD92" w14:textId="77777777" w:rsidR="00C81747" w:rsidRDefault="00C81747">
            <w:r>
              <w:t>Jamaica</w:t>
            </w:r>
          </w:p>
        </w:tc>
        <w:tc>
          <w:tcPr>
            <w:tcW w:w="2765" w:type="dxa"/>
            <w:gridSpan w:val="2"/>
            <w:hideMark/>
          </w:tcPr>
          <w:p w14:paraId="3DCD8BAD" w14:textId="77777777" w:rsidR="00C81747" w:rsidRDefault="00C81747">
            <w:r>
              <w:t>Disabilities Act (2014)</w:t>
            </w:r>
          </w:p>
        </w:tc>
        <w:tc>
          <w:tcPr>
            <w:tcW w:w="4877" w:type="dxa"/>
            <w:hideMark/>
          </w:tcPr>
          <w:p w14:paraId="11744A30" w14:textId="77777777" w:rsidR="00C81747" w:rsidRDefault="00C81747">
            <w:r>
              <w:t>Provides for employment of and non-discrimination against persons with disabilities.</w:t>
            </w:r>
          </w:p>
        </w:tc>
      </w:tr>
      <w:tr w:rsidR="00C81747" w14:paraId="61A7AD9C" w14:textId="77777777" w:rsidTr="00C81747">
        <w:tc>
          <w:tcPr>
            <w:tcW w:w="1713" w:type="dxa"/>
            <w:hideMark/>
          </w:tcPr>
          <w:p w14:paraId="2BD57DCD" w14:textId="77777777" w:rsidR="00C81747" w:rsidRDefault="00C81747">
            <w:r>
              <w:t>Jamaica</w:t>
            </w:r>
          </w:p>
        </w:tc>
        <w:tc>
          <w:tcPr>
            <w:tcW w:w="2765" w:type="dxa"/>
            <w:gridSpan w:val="2"/>
            <w:hideMark/>
          </w:tcPr>
          <w:p w14:paraId="3847E0A3" w14:textId="77777777" w:rsidR="00C81747" w:rsidRDefault="00C81747">
            <w:r>
              <w:t>Trade Unions Act (1919; amended)</w:t>
            </w:r>
          </w:p>
        </w:tc>
        <w:tc>
          <w:tcPr>
            <w:tcW w:w="4877" w:type="dxa"/>
            <w:hideMark/>
          </w:tcPr>
          <w:p w14:paraId="3881ABC6" w14:textId="77777777" w:rsidR="00C81747" w:rsidRDefault="00C81747">
            <w:r>
              <w:t>Provides legal recognition for trade unions and establishes the right of collective bargaining.</w:t>
            </w:r>
          </w:p>
        </w:tc>
      </w:tr>
      <w:tr w:rsidR="00C81747" w14:paraId="4EC33BF1" w14:textId="77777777" w:rsidTr="00C81747">
        <w:tc>
          <w:tcPr>
            <w:tcW w:w="1713" w:type="dxa"/>
            <w:hideMark/>
          </w:tcPr>
          <w:p w14:paraId="78BC1BFA" w14:textId="77777777" w:rsidR="00C81747" w:rsidRDefault="00C81747">
            <w:r>
              <w:t>Jamaica</w:t>
            </w:r>
          </w:p>
        </w:tc>
        <w:tc>
          <w:tcPr>
            <w:tcW w:w="2765" w:type="dxa"/>
            <w:gridSpan w:val="2"/>
            <w:hideMark/>
          </w:tcPr>
          <w:p w14:paraId="638A2BA5" w14:textId="77777777" w:rsidR="00C81747" w:rsidRDefault="00C81747">
            <w:proofErr w:type="spellStart"/>
            <w:r>
              <w:t>Labour</w:t>
            </w:r>
            <w:proofErr w:type="spellEnd"/>
            <w:r>
              <w:t xml:space="preserve"> Relations and Industrial Disputes Act (1975; amended)</w:t>
            </w:r>
          </w:p>
        </w:tc>
        <w:tc>
          <w:tcPr>
            <w:tcW w:w="4877" w:type="dxa"/>
            <w:hideMark/>
          </w:tcPr>
          <w:p w14:paraId="46B95373" w14:textId="77777777" w:rsidR="00C81747" w:rsidRDefault="00C81747">
            <w:r>
              <w:t>Regulates relations between employers and workers, including procedures for settlement of industrial disputes.</w:t>
            </w:r>
          </w:p>
        </w:tc>
      </w:tr>
      <w:tr w:rsidR="00C81747" w14:paraId="7234CB5E" w14:textId="77777777" w:rsidTr="00C81747">
        <w:tc>
          <w:tcPr>
            <w:tcW w:w="1713" w:type="dxa"/>
            <w:hideMark/>
          </w:tcPr>
          <w:p w14:paraId="32DF6C3C" w14:textId="77777777" w:rsidR="00C81747" w:rsidRDefault="00C81747">
            <w:r>
              <w:t>Jamaica</w:t>
            </w:r>
          </w:p>
        </w:tc>
        <w:tc>
          <w:tcPr>
            <w:tcW w:w="2765" w:type="dxa"/>
            <w:gridSpan w:val="2"/>
            <w:hideMark/>
          </w:tcPr>
          <w:p w14:paraId="404811EA" w14:textId="77777777" w:rsidR="00C81747" w:rsidRDefault="00C81747">
            <w:r>
              <w:t>Minimum Wage Act (1938; amended)</w:t>
            </w:r>
          </w:p>
        </w:tc>
        <w:tc>
          <w:tcPr>
            <w:tcW w:w="4877" w:type="dxa"/>
            <w:hideMark/>
          </w:tcPr>
          <w:p w14:paraId="27E408DD" w14:textId="77777777" w:rsidR="00C81747" w:rsidRDefault="00C81747">
            <w:r>
              <w:t>Provides for the protection of workers in relation to the payment of wages.</w:t>
            </w:r>
          </w:p>
        </w:tc>
      </w:tr>
      <w:tr w:rsidR="00C81747" w14:paraId="79EC695F" w14:textId="77777777" w:rsidTr="00C81747">
        <w:tc>
          <w:tcPr>
            <w:tcW w:w="1713" w:type="dxa"/>
            <w:hideMark/>
          </w:tcPr>
          <w:p w14:paraId="6E6AC11E" w14:textId="77777777" w:rsidR="00C81747" w:rsidRDefault="00C81747">
            <w:r>
              <w:t>Jamaica</w:t>
            </w:r>
          </w:p>
        </w:tc>
        <w:tc>
          <w:tcPr>
            <w:tcW w:w="2765" w:type="dxa"/>
            <w:gridSpan w:val="2"/>
            <w:hideMark/>
          </w:tcPr>
          <w:p w14:paraId="107F925D" w14:textId="77777777" w:rsidR="00C81747" w:rsidRDefault="00C81747">
            <w:r>
              <w:t>Employment (Termination and Redundancy Payment) Act (1974)</w:t>
            </w:r>
          </w:p>
        </w:tc>
        <w:tc>
          <w:tcPr>
            <w:tcW w:w="4877" w:type="dxa"/>
            <w:hideMark/>
          </w:tcPr>
          <w:p w14:paraId="091EB402" w14:textId="77777777" w:rsidR="00C81747" w:rsidRDefault="00C81747">
            <w:r>
              <w:t xml:space="preserve">Provides for a separation payment whenever an employee is made </w:t>
            </w:r>
            <w:proofErr w:type="gramStart"/>
            <w:r>
              <w:t>redundant</w:t>
            </w:r>
            <w:proofErr w:type="gramEnd"/>
            <w:r>
              <w:t xml:space="preserve"> or their employment is terminated.</w:t>
            </w:r>
          </w:p>
        </w:tc>
      </w:tr>
      <w:tr w:rsidR="00C81747" w14:paraId="7EC65F5F" w14:textId="77777777" w:rsidTr="00C81747">
        <w:tc>
          <w:tcPr>
            <w:tcW w:w="1713" w:type="dxa"/>
            <w:hideMark/>
          </w:tcPr>
          <w:p w14:paraId="7D9347A3" w14:textId="77777777" w:rsidR="00C81747" w:rsidRDefault="00C81747">
            <w:r>
              <w:t>Jamaica</w:t>
            </w:r>
          </w:p>
        </w:tc>
        <w:tc>
          <w:tcPr>
            <w:tcW w:w="2765" w:type="dxa"/>
            <w:gridSpan w:val="2"/>
            <w:hideMark/>
          </w:tcPr>
          <w:p w14:paraId="1630283C" w14:textId="77777777" w:rsidR="00C81747" w:rsidRDefault="00C81747">
            <w:r>
              <w:t>Holiday with Pay Act (1974)</w:t>
            </w:r>
          </w:p>
        </w:tc>
        <w:tc>
          <w:tcPr>
            <w:tcW w:w="4877" w:type="dxa"/>
            <w:hideMark/>
          </w:tcPr>
          <w:p w14:paraId="50844E8D" w14:textId="77777777" w:rsidR="00C81747" w:rsidRDefault="00C81747">
            <w:r>
              <w:t>Establishes the right to paid annual vacation.</w:t>
            </w:r>
          </w:p>
        </w:tc>
      </w:tr>
      <w:tr w:rsidR="00C81747" w14:paraId="75210620" w14:textId="77777777" w:rsidTr="00C81747">
        <w:tc>
          <w:tcPr>
            <w:tcW w:w="1713" w:type="dxa"/>
            <w:hideMark/>
          </w:tcPr>
          <w:p w14:paraId="1B45ABC9" w14:textId="77777777" w:rsidR="00C81747" w:rsidRDefault="00C81747">
            <w:r>
              <w:t>Jamaica</w:t>
            </w:r>
          </w:p>
        </w:tc>
        <w:tc>
          <w:tcPr>
            <w:tcW w:w="2765" w:type="dxa"/>
            <w:gridSpan w:val="2"/>
            <w:hideMark/>
          </w:tcPr>
          <w:p w14:paraId="5ADC03A0" w14:textId="77777777" w:rsidR="00C81747" w:rsidRDefault="00C81747">
            <w:r>
              <w:t>Jamaica (Constitution) Order in Council Act (1962; amended)</w:t>
            </w:r>
          </w:p>
        </w:tc>
        <w:tc>
          <w:tcPr>
            <w:tcW w:w="4877" w:type="dxa"/>
            <w:hideMark/>
          </w:tcPr>
          <w:p w14:paraId="45840783" w14:textId="77777777" w:rsidR="00C81747" w:rsidRDefault="00C81747">
            <w:r>
              <w:t>Confers protection from discrimination on the grounds of race, etc.</w:t>
            </w:r>
          </w:p>
        </w:tc>
      </w:tr>
      <w:tr w:rsidR="00C81747" w14:paraId="20AA46CF" w14:textId="77777777" w:rsidTr="00C81747">
        <w:tc>
          <w:tcPr>
            <w:tcW w:w="1713" w:type="dxa"/>
            <w:hideMark/>
          </w:tcPr>
          <w:p w14:paraId="0EF4FC27" w14:textId="77777777" w:rsidR="00C81747" w:rsidRDefault="00C81747">
            <w:r>
              <w:t>Jamaica</w:t>
            </w:r>
          </w:p>
        </w:tc>
        <w:tc>
          <w:tcPr>
            <w:tcW w:w="2765" w:type="dxa"/>
            <w:gridSpan w:val="2"/>
            <w:hideMark/>
          </w:tcPr>
          <w:p w14:paraId="677A27D3" w14:textId="77777777" w:rsidR="00C81747" w:rsidRDefault="00C81747">
            <w:r>
              <w:t>Employment (Equal Pay for Men and Women) Act (1975)</w:t>
            </w:r>
          </w:p>
        </w:tc>
        <w:tc>
          <w:tcPr>
            <w:tcW w:w="4877" w:type="dxa"/>
            <w:hideMark/>
          </w:tcPr>
          <w:p w14:paraId="5456CAAE" w14:textId="77777777" w:rsidR="00C81747" w:rsidRDefault="00C81747">
            <w:r>
              <w:t>Prohibits discrimination on grounds of sex in respect of remuneration and other terms and conditions of employment.</w:t>
            </w:r>
          </w:p>
        </w:tc>
      </w:tr>
      <w:tr w:rsidR="00C81747" w14:paraId="183088B9" w14:textId="77777777" w:rsidTr="00C81747">
        <w:tc>
          <w:tcPr>
            <w:tcW w:w="1713" w:type="dxa"/>
            <w:hideMark/>
          </w:tcPr>
          <w:p w14:paraId="3F6B459F" w14:textId="77777777" w:rsidR="00C81747" w:rsidRDefault="00C81747">
            <w:r>
              <w:t>Jamaica</w:t>
            </w:r>
          </w:p>
        </w:tc>
        <w:tc>
          <w:tcPr>
            <w:tcW w:w="2765" w:type="dxa"/>
            <w:gridSpan w:val="2"/>
            <w:hideMark/>
          </w:tcPr>
          <w:p w14:paraId="115AB71C" w14:textId="77777777" w:rsidR="00C81747" w:rsidRDefault="00C81747">
            <w:r>
              <w:t>Maternity Leave Act (1979)</w:t>
            </w:r>
          </w:p>
        </w:tc>
        <w:tc>
          <w:tcPr>
            <w:tcW w:w="4877" w:type="dxa"/>
            <w:hideMark/>
          </w:tcPr>
          <w:p w14:paraId="602F788C" w14:textId="77777777" w:rsidR="00C81747" w:rsidRDefault="00C81747">
            <w:r>
              <w:t>Prevents some forms of discrimination against pregnant women and entitles pregnant women to 12 weeks of maternity leave.</w:t>
            </w:r>
          </w:p>
        </w:tc>
      </w:tr>
      <w:tr w:rsidR="00C81747" w14:paraId="4273B5D7" w14:textId="77777777" w:rsidTr="00C81747">
        <w:tc>
          <w:tcPr>
            <w:tcW w:w="1713" w:type="dxa"/>
            <w:hideMark/>
          </w:tcPr>
          <w:p w14:paraId="18F9F056" w14:textId="77777777" w:rsidR="00C81747" w:rsidRDefault="00C81747">
            <w:r>
              <w:t>Jamaica</w:t>
            </w:r>
          </w:p>
        </w:tc>
        <w:tc>
          <w:tcPr>
            <w:tcW w:w="2765" w:type="dxa"/>
            <w:gridSpan w:val="2"/>
            <w:hideMark/>
          </w:tcPr>
          <w:p w14:paraId="4785BF86" w14:textId="77777777" w:rsidR="00C81747" w:rsidRDefault="00C81747">
            <w:r>
              <w:t>Child Care and Protection Act, (2004)</w:t>
            </w:r>
          </w:p>
        </w:tc>
        <w:tc>
          <w:tcPr>
            <w:tcW w:w="4877" w:type="dxa"/>
            <w:hideMark/>
          </w:tcPr>
          <w:p w14:paraId="71115EEE" w14:textId="77777777" w:rsidR="00C81747" w:rsidRDefault="00C81747">
            <w:r>
              <w:t>Prohibits the employment of children under the age of 13, restricts employment of children under the age of 15 to light work, and prohibits the employment of young people under the age of 18 in hazardous work.</w:t>
            </w:r>
          </w:p>
        </w:tc>
      </w:tr>
      <w:tr w:rsidR="00C81747" w14:paraId="12753198" w14:textId="77777777" w:rsidTr="00C81747">
        <w:tc>
          <w:tcPr>
            <w:tcW w:w="1713" w:type="dxa"/>
            <w:hideMark/>
          </w:tcPr>
          <w:p w14:paraId="6C13C9CD" w14:textId="77777777" w:rsidR="00C81747" w:rsidRDefault="00C81747">
            <w:r>
              <w:t>Jamaica</w:t>
            </w:r>
          </w:p>
        </w:tc>
        <w:tc>
          <w:tcPr>
            <w:tcW w:w="2765" w:type="dxa"/>
            <w:gridSpan w:val="2"/>
            <w:hideMark/>
          </w:tcPr>
          <w:p w14:paraId="4E31AF5D" w14:textId="77777777" w:rsidR="00C81747" w:rsidRDefault="00C81747">
            <w:r>
              <w:t>Factories Act (1943; amended)</w:t>
            </w:r>
          </w:p>
        </w:tc>
        <w:tc>
          <w:tcPr>
            <w:tcW w:w="4877" w:type="dxa"/>
            <w:hideMark/>
          </w:tcPr>
          <w:p w14:paraId="63216038" w14:textId="77777777" w:rsidR="00C81747" w:rsidRDefault="00C81747">
            <w:r>
              <w:t>Provides for regulation of occupational health and safety in certain settings, including building operations and engineering construction.</w:t>
            </w:r>
          </w:p>
        </w:tc>
      </w:tr>
      <w:tr w:rsidR="00C81747" w14:paraId="4B30C0A3" w14:textId="77777777" w:rsidTr="00C81747">
        <w:tc>
          <w:tcPr>
            <w:tcW w:w="1713" w:type="dxa"/>
            <w:hideMark/>
          </w:tcPr>
          <w:p w14:paraId="34FC4140" w14:textId="77777777" w:rsidR="00C81747" w:rsidRDefault="00C81747">
            <w:r>
              <w:t>Saint Lucia</w:t>
            </w:r>
          </w:p>
        </w:tc>
        <w:tc>
          <w:tcPr>
            <w:tcW w:w="2765" w:type="dxa"/>
            <w:gridSpan w:val="2"/>
            <w:hideMark/>
          </w:tcPr>
          <w:p w14:paraId="4C601475" w14:textId="77777777" w:rsidR="00C81747" w:rsidRDefault="00C81747">
            <w:proofErr w:type="spellStart"/>
            <w:r>
              <w:t>Labour</w:t>
            </w:r>
            <w:proofErr w:type="spellEnd"/>
            <w:r>
              <w:t xml:space="preserve"> Code of Saint Lucia (2006; amended)</w:t>
            </w:r>
          </w:p>
        </w:tc>
        <w:tc>
          <w:tcPr>
            <w:tcW w:w="4877" w:type="dxa"/>
            <w:hideMark/>
          </w:tcPr>
          <w:p w14:paraId="1CFDAF09" w14:textId="77777777" w:rsidR="00C81747" w:rsidRDefault="00C81747">
            <w:r>
              <w:t xml:space="preserve">Establishes fundamental principles of employment, including with regards to terms and conditions, occupational health and safety, equal </w:t>
            </w:r>
            <w:proofErr w:type="gramStart"/>
            <w:r>
              <w:t>opportunities</w:t>
            </w:r>
            <w:proofErr w:type="gramEnd"/>
            <w:r>
              <w:t xml:space="preserve"> and industrial relations. The code prohibits employment of children and young persons below the minimum school leaving age.</w:t>
            </w:r>
          </w:p>
        </w:tc>
      </w:tr>
      <w:tr w:rsidR="00C81747" w14:paraId="307DE59F" w14:textId="77777777" w:rsidTr="00C81747">
        <w:tc>
          <w:tcPr>
            <w:tcW w:w="1713" w:type="dxa"/>
            <w:hideMark/>
          </w:tcPr>
          <w:p w14:paraId="285B1B49" w14:textId="77777777" w:rsidR="00C81747" w:rsidRDefault="00C81747">
            <w:r>
              <w:t>Saint Lucia</w:t>
            </w:r>
          </w:p>
        </w:tc>
        <w:tc>
          <w:tcPr>
            <w:tcW w:w="2765" w:type="dxa"/>
            <w:gridSpan w:val="2"/>
            <w:hideMark/>
          </w:tcPr>
          <w:p w14:paraId="4A3292D7" w14:textId="77777777" w:rsidR="00C81747" w:rsidRDefault="00C81747">
            <w:r>
              <w:t xml:space="preserve">Education Act (1999) </w:t>
            </w:r>
          </w:p>
        </w:tc>
        <w:tc>
          <w:tcPr>
            <w:tcW w:w="4877" w:type="dxa"/>
            <w:hideMark/>
          </w:tcPr>
          <w:p w14:paraId="11381B59" w14:textId="77777777" w:rsidR="00C81747" w:rsidRDefault="00C81747">
            <w:r>
              <w:t>Sets the minimum school leaving age at 15.</w:t>
            </w:r>
          </w:p>
        </w:tc>
      </w:tr>
      <w:tr w:rsidR="00C81747" w14:paraId="301D74CB" w14:textId="77777777" w:rsidTr="00C81747">
        <w:tc>
          <w:tcPr>
            <w:tcW w:w="1713" w:type="dxa"/>
            <w:hideMark/>
          </w:tcPr>
          <w:p w14:paraId="68DED8C1" w14:textId="77777777" w:rsidR="00C81747" w:rsidRDefault="00C81747">
            <w:r>
              <w:t>Saint Lucia</w:t>
            </w:r>
          </w:p>
        </w:tc>
        <w:tc>
          <w:tcPr>
            <w:tcW w:w="2765" w:type="dxa"/>
            <w:gridSpan w:val="2"/>
            <w:hideMark/>
          </w:tcPr>
          <w:p w14:paraId="482E55B4" w14:textId="77777777" w:rsidR="00C81747" w:rsidRDefault="00C81747">
            <w:r>
              <w:t>Equality of Opportunity and Treatment in Employment and Occupation Act (2000)</w:t>
            </w:r>
          </w:p>
        </w:tc>
        <w:tc>
          <w:tcPr>
            <w:tcW w:w="4877" w:type="dxa"/>
            <w:hideMark/>
          </w:tcPr>
          <w:p w14:paraId="349AC251" w14:textId="77777777" w:rsidR="00C81747" w:rsidRDefault="00C81747">
            <w:r>
              <w:t>Provides for protection against unlawful discrimination on grounds of race, sex, religion, color, ethnic origin, family responsibilities, pregnancy, marital status, or age, and places restrictions on work and employment of minors.</w:t>
            </w:r>
          </w:p>
        </w:tc>
      </w:tr>
      <w:tr w:rsidR="00C81747" w14:paraId="5323461C" w14:textId="77777777" w:rsidTr="00C81747">
        <w:tc>
          <w:tcPr>
            <w:tcW w:w="1713" w:type="dxa"/>
            <w:hideMark/>
          </w:tcPr>
          <w:p w14:paraId="751661A4" w14:textId="77777777" w:rsidR="00C81747" w:rsidRDefault="00C81747">
            <w:r>
              <w:t>Saint Lucia</w:t>
            </w:r>
          </w:p>
        </w:tc>
        <w:tc>
          <w:tcPr>
            <w:tcW w:w="2765" w:type="dxa"/>
            <w:gridSpan w:val="2"/>
            <w:hideMark/>
          </w:tcPr>
          <w:p w14:paraId="76ACBEDF" w14:textId="77777777" w:rsidR="00C81747" w:rsidRDefault="00C81747">
            <w:r>
              <w:t>Minimum Wages Act (1999; amended)</w:t>
            </w:r>
          </w:p>
        </w:tc>
        <w:tc>
          <w:tcPr>
            <w:tcW w:w="4877" w:type="dxa"/>
            <w:hideMark/>
          </w:tcPr>
          <w:p w14:paraId="5C23593C" w14:textId="77777777" w:rsidR="00C81747" w:rsidRDefault="00C81747">
            <w:r>
              <w:t>Establishes process for setting minimum wages for workers in particular sectors or industries.</w:t>
            </w:r>
          </w:p>
        </w:tc>
      </w:tr>
      <w:tr w:rsidR="00C81747" w14:paraId="227F5E3C" w14:textId="77777777" w:rsidTr="00C81747">
        <w:tc>
          <w:tcPr>
            <w:tcW w:w="1713" w:type="dxa"/>
            <w:hideMark/>
          </w:tcPr>
          <w:p w14:paraId="0B458EEB" w14:textId="77777777" w:rsidR="00C81747" w:rsidRDefault="00C81747">
            <w:r>
              <w:t>Saint Lucia</w:t>
            </w:r>
          </w:p>
        </w:tc>
        <w:tc>
          <w:tcPr>
            <w:tcW w:w="2765" w:type="dxa"/>
            <w:gridSpan w:val="2"/>
            <w:hideMark/>
          </w:tcPr>
          <w:p w14:paraId="068892AF" w14:textId="77777777" w:rsidR="00C81747" w:rsidRDefault="00C81747">
            <w:r>
              <w:t>Employees (Occupational Health and Safety) Act (1985)</w:t>
            </w:r>
          </w:p>
        </w:tc>
        <w:tc>
          <w:tcPr>
            <w:tcW w:w="4877" w:type="dxa"/>
            <w:hideMark/>
          </w:tcPr>
          <w:p w14:paraId="406FF7BA" w14:textId="77777777" w:rsidR="00C81747" w:rsidRDefault="00C81747">
            <w:r>
              <w:t xml:space="preserve">Covers all aspects of occupational health and safety, including providing for preventive health measures, protective </w:t>
            </w:r>
            <w:proofErr w:type="gramStart"/>
            <w:r>
              <w:t>devices</w:t>
            </w:r>
            <w:proofErr w:type="gramEnd"/>
            <w:r>
              <w:t xml:space="preserve"> and equipment.</w:t>
            </w:r>
          </w:p>
        </w:tc>
      </w:tr>
    </w:tbl>
    <w:p w14:paraId="12F42425" w14:textId="77777777" w:rsidR="00F53D5F" w:rsidRDefault="00F53D5F" w:rsidP="00F53D5F">
      <w:pPr>
        <w:pStyle w:val="ListParagraph"/>
        <w:spacing w:after="0"/>
        <w:ind w:left="360"/>
        <w:jc w:val="both"/>
      </w:pPr>
    </w:p>
    <w:p w14:paraId="3B1B6127" w14:textId="77777777" w:rsidR="00F53D5F" w:rsidRPr="00622DE5" w:rsidRDefault="00F53D5F" w:rsidP="001F2D19">
      <w:pPr>
        <w:pStyle w:val="Heading1"/>
      </w:pPr>
      <w:bookmarkStart w:id="34" w:name="_Toc77191105"/>
      <w:r w:rsidRPr="00622DE5">
        <w:t>Brief overview of legislation: occupational health and safety</w:t>
      </w:r>
      <w:bookmarkEnd w:id="34"/>
      <w:r w:rsidRPr="00622DE5">
        <w:t xml:space="preserve"> </w:t>
      </w:r>
    </w:p>
    <w:p w14:paraId="246AFA79" w14:textId="7FB59C22" w:rsidR="00F53D5F" w:rsidRDefault="00F53D5F" w:rsidP="00F53D5F">
      <w:r w:rsidRPr="006655D8">
        <w:t xml:space="preserve">Table </w:t>
      </w:r>
      <w:r w:rsidR="006A3932">
        <w:t>12.0</w:t>
      </w:r>
      <w:r w:rsidRPr="006655D8">
        <w:t xml:space="preserve"> sets out the key aspects of national legislation</w:t>
      </w:r>
      <w:r>
        <w:t xml:space="preserve"> relevant to </w:t>
      </w:r>
      <w:r w:rsidRPr="006655D8">
        <w:t>occupational</w:t>
      </w:r>
      <w:r>
        <w:t xml:space="preserve"> health and safety in the project countries and their relevance to ESS2.  </w:t>
      </w:r>
    </w:p>
    <w:p w14:paraId="3717BD9D" w14:textId="039A477A" w:rsidR="00F53D5F" w:rsidRPr="00F46CB4" w:rsidRDefault="00F53D5F" w:rsidP="006A3932">
      <w:pPr>
        <w:pStyle w:val="Heading2"/>
        <w:rPr>
          <w:i w:val="0"/>
          <w:iCs/>
        </w:rPr>
      </w:pPr>
      <w:bookmarkStart w:id="35" w:name="_Toc77191106"/>
      <w:r w:rsidRPr="00F46CB4">
        <w:rPr>
          <w:i w:val="0"/>
          <w:iCs/>
        </w:rPr>
        <w:t xml:space="preserve">Table </w:t>
      </w:r>
      <w:r w:rsidR="006A3932" w:rsidRPr="00F46CB4">
        <w:rPr>
          <w:i w:val="0"/>
          <w:iCs/>
        </w:rPr>
        <w:t xml:space="preserve">12.0: </w:t>
      </w:r>
      <w:r w:rsidRPr="00F46CB4">
        <w:rPr>
          <w:i w:val="0"/>
          <w:iCs/>
        </w:rPr>
        <w:t>National legislation relevant to occupational health and safety in</w:t>
      </w:r>
      <w:r w:rsidR="006A3932" w:rsidRPr="00F46CB4">
        <w:rPr>
          <w:i w:val="0"/>
          <w:iCs/>
        </w:rPr>
        <w:t xml:space="preserve"> </w:t>
      </w:r>
      <w:r w:rsidRPr="00F46CB4">
        <w:rPr>
          <w:i w:val="0"/>
          <w:iCs/>
        </w:rPr>
        <w:t>project countries</w:t>
      </w:r>
      <w:bookmarkEnd w:id="35"/>
    </w:p>
    <w:tbl>
      <w:tblPr>
        <w:tblStyle w:val="TableGrid"/>
        <w:tblW w:w="9355" w:type="dxa"/>
        <w:tblLook w:val="04A0" w:firstRow="1" w:lastRow="0" w:firstColumn="1" w:lastColumn="0" w:noHBand="0" w:noVBand="1"/>
      </w:tblPr>
      <w:tblGrid>
        <w:gridCol w:w="1795"/>
        <w:gridCol w:w="2683"/>
        <w:gridCol w:w="17"/>
        <w:gridCol w:w="4860"/>
      </w:tblGrid>
      <w:tr w:rsidR="00F53D5F" w14:paraId="565AAE8A" w14:textId="77777777" w:rsidTr="00D204FA">
        <w:trPr>
          <w:cantSplit/>
          <w:tblHeader/>
        </w:trPr>
        <w:tc>
          <w:tcPr>
            <w:tcW w:w="1795" w:type="dxa"/>
          </w:tcPr>
          <w:p w14:paraId="24D1F8B8" w14:textId="77777777" w:rsidR="00F53D5F" w:rsidRPr="00991E5F" w:rsidRDefault="00F53D5F" w:rsidP="00115690">
            <w:pPr>
              <w:rPr>
                <w:b/>
                <w:bCs/>
              </w:rPr>
            </w:pPr>
            <w:r>
              <w:rPr>
                <w:b/>
                <w:bCs/>
              </w:rPr>
              <w:t>Country</w:t>
            </w:r>
          </w:p>
        </w:tc>
        <w:tc>
          <w:tcPr>
            <w:tcW w:w="2700" w:type="dxa"/>
            <w:gridSpan w:val="2"/>
          </w:tcPr>
          <w:p w14:paraId="263F65AA" w14:textId="77777777" w:rsidR="00F53D5F" w:rsidRPr="00991E5F" w:rsidRDefault="00F53D5F" w:rsidP="00115690">
            <w:pPr>
              <w:rPr>
                <w:b/>
                <w:bCs/>
              </w:rPr>
            </w:pPr>
            <w:r>
              <w:rPr>
                <w:b/>
                <w:bCs/>
              </w:rPr>
              <w:t>Law</w:t>
            </w:r>
          </w:p>
        </w:tc>
        <w:tc>
          <w:tcPr>
            <w:tcW w:w="4860" w:type="dxa"/>
          </w:tcPr>
          <w:p w14:paraId="692BF4C9" w14:textId="77777777" w:rsidR="00F53D5F" w:rsidRPr="00991E5F" w:rsidRDefault="00F53D5F" w:rsidP="00115690">
            <w:pPr>
              <w:rPr>
                <w:b/>
                <w:bCs/>
              </w:rPr>
            </w:pPr>
            <w:r w:rsidRPr="00991E5F">
              <w:rPr>
                <w:b/>
                <w:bCs/>
              </w:rPr>
              <w:t xml:space="preserve">Relevance to </w:t>
            </w:r>
            <w:r>
              <w:rPr>
                <w:b/>
                <w:bCs/>
              </w:rPr>
              <w:t>ESS2</w:t>
            </w:r>
          </w:p>
        </w:tc>
      </w:tr>
      <w:tr w:rsidR="00F53D5F" w14:paraId="5B344D42" w14:textId="77777777" w:rsidTr="00D204FA">
        <w:tc>
          <w:tcPr>
            <w:tcW w:w="1795" w:type="dxa"/>
          </w:tcPr>
          <w:p w14:paraId="6FE6D712" w14:textId="77777777" w:rsidR="00F53D5F" w:rsidRDefault="00F53D5F" w:rsidP="00115690">
            <w:r>
              <w:t>Antigua and Barbuda</w:t>
            </w:r>
          </w:p>
        </w:tc>
        <w:tc>
          <w:tcPr>
            <w:tcW w:w="2700" w:type="dxa"/>
            <w:gridSpan w:val="2"/>
          </w:tcPr>
          <w:p w14:paraId="05D5BFCF" w14:textId="77777777" w:rsidR="00F53D5F" w:rsidRDefault="00F53D5F" w:rsidP="00115690">
            <w:r w:rsidRPr="00E415A0">
              <w:t>Environmental Protection and Management Act</w:t>
            </w:r>
            <w:r>
              <w:t xml:space="preserve"> (</w:t>
            </w:r>
            <w:r w:rsidRPr="00E415A0">
              <w:t>2015</w:t>
            </w:r>
            <w:r>
              <w:t>)</w:t>
            </w:r>
          </w:p>
        </w:tc>
        <w:tc>
          <w:tcPr>
            <w:tcW w:w="4860" w:type="dxa"/>
          </w:tcPr>
          <w:p w14:paraId="742C1BD2" w14:textId="77777777" w:rsidR="00F53D5F" w:rsidRDefault="00F53D5F" w:rsidP="00115690">
            <w:r>
              <w:t>Provides for measures for the control and mitigation of all forms of environmental degradation or pollution including the management of pesticides and other hazardous substances to protect human health and maintain the quality of the environment.</w:t>
            </w:r>
          </w:p>
        </w:tc>
      </w:tr>
      <w:tr w:rsidR="007D717F" w14:paraId="31E2E474" w14:textId="77777777" w:rsidTr="00D204FA">
        <w:tc>
          <w:tcPr>
            <w:tcW w:w="1795" w:type="dxa"/>
          </w:tcPr>
          <w:p w14:paraId="609CF8B4" w14:textId="6971DD30" w:rsidR="007D717F" w:rsidRDefault="007D717F" w:rsidP="00115690">
            <w:r>
              <w:t>Antigua and Barbuda</w:t>
            </w:r>
          </w:p>
        </w:tc>
        <w:tc>
          <w:tcPr>
            <w:tcW w:w="2700" w:type="dxa"/>
            <w:gridSpan w:val="2"/>
          </w:tcPr>
          <w:p w14:paraId="00FDF13A" w14:textId="7FC003A0" w:rsidR="007D717F" w:rsidRDefault="007D717F" w:rsidP="00115690">
            <w:proofErr w:type="spellStart"/>
            <w:r>
              <w:t>Labour</w:t>
            </w:r>
            <w:proofErr w:type="spellEnd"/>
            <w:r>
              <w:t xml:space="preserve"> Code for Occupational Health and Safety (D10-17) (2013)</w:t>
            </w:r>
          </w:p>
        </w:tc>
        <w:tc>
          <w:tcPr>
            <w:tcW w:w="4860" w:type="dxa"/>
          </w:tcPr>
          <w:p w14:paraId="291BFDC3" w14:textId="5F6D2297" w:rsidR="007D717F" w:rsidRDefault="007D717F" w:rsidP="007D717F">
            <w:r>
              <w:t xml:space="preserve">Provides for preventative health measures, protective devices and equipment, medical examinations, notification of employment injuries and diseases, training, etc. This Act obligates the employer to ensure the safety and health of all employees and to mitigate risk of exposure to any hazards in the work environment. The </w:t>
            </w:r>
            <w:proofErr w:type="spellStart"/>
            <w:r>
              <w:t>Labour</w:t>
            </w:r>
            <w:proofErr w:type="spellEnd"/>
            <w:r>
              <w:t xml:space="preserve"> Code for Safety stipulates that for the purpose of ensuring the safety of persons employed in or performing any duty in workplaces, safety provisions shall apply to every workplace.</w:t>
            </w:r>
          </w:p>
        </w:tc>
      </w:tr>
      <w:tr w:rsidR="00F53D5F" w14:paraId="1BE7317B" w14:textId="77777777" w:rsidTr="00D204FA">
        <w:tc>
          <w:tcPr>
            <w:tcW w:w="1795" w:type="dxa"/>
          </w:tcPr>
          <w:p w14:paraId="0084D47E" w14:textId="77777777" w:rsidR="00F53D5F" w:rsidRDefault="00F53D5F" w:rsidP="00115690">
            <w:r>
              <w:t>Antigua and Barbuda</w:t>
            </w:r>
          </w:p>
        </w:tc>
        <w:tc>
          <w:tcPr>
            <w:tcW w:w="2700" w:type="dxa"/>
            <w:gridSpan w:val="2"/>
          </w:tcPr>
          <w:p w14:paraId="02D88E63" w14:textId="77777777" w:rsidR="00F53D5F" w:rsidRDefault="00F53D5F" w:rsidP="00115690">
            <w:r>
              <w:t>Public Health Act (1957; amended)</w:t>
            </w:r>
          </w:p>
        </w:tc>
        <w:tc>
          <w:tcPr>
            <w:tcW w:w="4860" w:type="dxa"/>
          </w:tcPr>
          <w:p w14:paraId="48DB30AD" w14:textId="77777777" w:rsidR="00F53D5F" w:rsidRDefault="00F53D5F" w:rsidP="00115690">
            <w:r>
              <w:t>M</w:t>
            </w:r>
            <w:r w:rsidRPr="008115A5">
              <w:t>akes provisions for various matters relating to public health</w:t>
            </w:r>
            <w:r>
              <w:t>, including with regards to notification and control of infectious diseases.</w:t>
            </w:r>
          </w:p>
        </w:tc>
      </w:tr>
      <w:tr w:rsidR="00F53D5F" w14:paraId="3060D771" w14:textId="77777777" w:rsidTr="00D204FA">
        <w:tc>
          <w:tcPr>
            <w:tcW w:w="1795" w:type="dxa"/>
          </w:tcPr>
          <w:p w14:paraId="3CC8CF62" w14:textId="77777777" w:rsidR="00F53D5F" w:rsidRDefault="00F53D5F" w:rsidP="00115690">
            <w:r>
              <w:t>Dominican Republic</w:t>
            </w:r>
          </w:p>
        </w:tc>
        <w:tc>
          <w:tcPr>
            <w:tcW w:w="2700" w:type="dxa"/>
            <w:gridSpan w:val="2"/>
          </w:tcPr>
          <w:p w14:paraId="7EC8C6ED" w14:textId="77777777" w:rsidR="00F53D5F" w:rsidRDefault="00F53D5F" w:rsidP="00115690">
            <w:r>
              <w:t>General Health Law (2001)</w:t>
            </w:r>
          </w:p>
        </w:tc>
        <w:tc>
          <w:tcPr>
            <w:tcW w:w="4860" w:type="dxa"/>
          </w:tcPr>
          <w:p w14:paraId="77847A9D" w14:textId="77777777" w:rsidR="00F53D5F" w:rsidRDefault="00F53D5F" w:rsidP="00115690">
            <w:r>
              <w:t>Defines the role of the state in relation to fulfilling citizen's rights to health.</w:t>
            </w:r>
          </w:p>
        </w:tc>
      </w:tr>
      <w:tr w:rsidR="00D47C74" w:rsidRPr="00942772" w14:paraId="2D25D42E" w14:textId="77777777" w:rsidTr="00D204FA">
        <w:tc>
          <w:tcPr>
            <w:tcW w:w="1795" w:type="dxa"/>
          </w:tcPr>
          <w:p w14:paraId="38F23677" w14:textId="77777777" w:rsidR="00D47C74" w:rsidRDefault="00D47C74" w:rsidP="00B84DD1">
            <w:r>
              <w:t>Dominican Republic</w:t>
            </w:r>
          </w:p>
        </w:tc>
        <w:tc>
          <w:tcPr>
            <w:tcW w:w="2683" w:type="dxa"/>
          </w:tcPr>
          <w:p w14:paraId="3F204FB1" w14:textId="77777777" w:rsidR="00D47C74" w:rsidRDefault="00D47C74" w:rsidP="00B84DD1">
            <w:r>
              <w:t xml:space="preserve">Agreements of the International </w:t>
            </w:r>
            <w:proofErr w:type="spellStart"/>
            <w:r>
              <w:t>Labour</w:t>
            </w:r>
            <w:proofErr w:type="spellEnd"/>
            <w:r>
              <w:t xml:space="preserve"> Organization </w:t>
            </w:r>
          </w:p>
        </w:tc>
        <w:tc>
          <w:tcPr>
            <w:tcW w:w="4877" w:type="dxa"/>
            <w:gridSpan w:val="2"/>
          </w:tcPr>
          <w:p w14:paraId="559E18AF" w14:textId="78D4E566" w:rsidR="00D47C74" w:rsidRDefault="00D47C74" w:rsidP="00B84DD1">
            <w:r>
              <w:t xml:space="preserve">The Dominican Republic Congress have ratified (and thus turned into national law) agreements of the International </w:t>
            </w:r>
            <w:proofErr w:type="spellStart"/>
            <w:r>
              <w:t>Labour</w:t>
            </w:r>
            <w:proofErr w:type="spellEnd"/>
            <w:r>
              <w:t xml:space="preserve"> Organization, including those related to occupational health and safety, discrimination</w:t>
            </w:r>
            <w:r w:rsidR="007D717F">
              <w:t>,</w:t>
            </w:r>
            <w:r>
              <w:t xml:space="preserve"> and harassment. </w:t>
            </w:r>
          </w:p>
        </w:tc>
      </w:tr>
      <w:tr w:rsidR="00D47C74" w:rsidRPr="00942772" w14:paraId="4AC9747C" w14:textId="77777777" w:rsidTr="00D204FA">
        <w:tc>
          <w:tcPr>
            <w:tcW w:w="1795" w:type="dxa"/>
          </w:tcPr>
          <w:p w14:paraId="1F49C40D" w14:textId="77777777" w:rsidR="00D47C74" w:rsidRDefault="00D47C74" w:rsidP="00B84DD1">
            <w:r>
              <w:t>Dominican Republic</w:t>
            </w:r>
          </w:p>
        </w:tc>
        <w:tc>
          <w:tcPr>
            <w:tcW w:w="2683" w:type="dxa"/>
          </w:tcPr>
          <w:p w14:paraId="6BF2EA4E" w14:textId="77777777" w:rsidR="00D47C74" w:rsidRDefault="00D47C74" w:rsidP="00B84DD1">
            <w:r>
              <w:t>Law 87-01 on Social Security and Presidential Decree 548-03 which regulates national insurance for labor related injuries</w:t>
            </w:r>
          </w:p>
        </w:tc>
        <w:tc>
          <w:tcPr>
            <w:tcW w:w="4877" w:type="dxa"/>
            <w:gridSpan w:val="2"/>
          </w:tcPr>
          <w:p w14:paraId="56EB47ED" w14:textId="77777777" w:rsidR="00F37B9C" w:rsidRDefault="00D47C74" w:rsidP="00F37B9C">
            <w:r>
              <w:t>All workers in the DR are legally entitled to compensation from a national insurance on labor related injuries.</w:t>
            </w:r>
            <w:r w:rsidR="00F37B9C">
              <w:t xml:space="preserve"> </w:t>
            </w:r>
            <w:r w:rsidR="00F37B9C" w:rsidRPr="0062440B">
              <w:t>Social Security. Law 87-01 on the Social Security System requires employers and their employees to contribute to the system, which provides for three types of assistance:</w:t>
            </w:r>
          </w:p>
          <w:p w14:paraId="1B333FA4" w14:textId="12F5E6FB" w:rsidR="00F37B9C" w:rsidRDefault="00F37B9C" w:rsidP="00F37B9C">
            <w:r w:rsidRPr="0062440B">
              <w:t>(a) health insurance</w:t>
            </w:r>
            <w:r w:rsidR="00A603CB">
              <w:t>,</w:t>
            </w:r>
          </w:p>
          <w:p w14:paraId="181D49AD" w14:textId="7F2688CB" w:rsidR="00F37B9C" w:rsidRDefault="00F37B9C" w:rsidP="00F37B9C">
            <w:r w:rsidRPr="0062440B">
              <w:t xml:space="preserve">(b) old-age, </w:t>
            </w:r>
            <w:proofErr w:type="gramStart"/>
            <w:r w:rsidRPr="0062440B">
              <w:t>disability</w:t>
            </w:r>
            <w:proofErr w:type="gramEnd"/>
            <w:r w:rsidRPr="0062440B">
              <w:t xml:space="preserve"> and survival insurance (pension fund)</w:t>
            </w:r>
            <w:r w:rsidR="00A603CB">
              <w:t>,</w:t>
            </w:r>
            <w:r w:rsidRPr="0062440B">
              <w:t xml:space="preserve"> and </w:t>
            </w:r>
          </w:p>
          <w:p w14:paraId="6113AC64" w14:textId="36A0362F" w:rsidR="00D47C74" w:rsidRDefault="00F37B9C" w:rsidP="00F37B9C">
            <w:r w:rsidRPr="0062440B">
              <w:t>(c) insurance against occupational hazards.</w:t>
            </w:r>
          </w:p>
        </w:tc>
      </w:tr>
      <w:tr w:rsidR="00D47C74" w14:paraId="17BD4053" w14:textId="77777777" w:rsidTr="00D204FA">
        <w:tc>
          <w:tcPr>
            <w:tcW w:w="1795" w:type="dxa"/>
            <w:hideMark/>
          </w:tcPr>
          <w:p w14:paraId="481B310E" w14:textId="77777777" w:rsidR="00D47C74" w:rsidRDefault="00D47C74">
            <w:r>
              <w:t>Jamaica</w:t>
            </w:r>
          </w:p>
        </w:tc>
        <w:tc>
          <w:tcPr>
            <w:tcW w:w="2700" w:type="dxa"/>
            <w:gridSpan w:val="2"/>
            <w:hideMark/>
          </w:tcPr>
          <w:p w14:paraId="5635AE8A" w14:textId="77777777" w:rsidR="00D47C74" w:rsidRDefault="00D47C74">
            <w:r>
              <w:t>Public Health Act (2003)</w:t>
            </w:r>
          </w:p>
        </w:tc>
        <w:tc>
          <w:tcPr>
            <w:tcW w:w="4860" w:type="dxa"/>
            <w:hideMark/>
          </w:tcPr>
          <w:p w14:paraId="6475D6C5" w14:textId="77777777" w:rsidR="00D47C74" w:rsidRDefault="00D47C74">
            <w:r>
              <w:t>Provides a list of communicable diseases that must be notified to the competent authorities.</w:t>
            </w:r>
          </w:p>
        </w:tc>
      </w:tr>
      <w:tr w:rsidR="00F37B9C" w14:paraId="08798D2D" w14:textId="77777777" w:rsidTr="00D204FA">
        <w:tc>
          <w:tcPr>
            <w:tcW w:w="1795" w:type="dxa"/>
          </w:tcPr>
          <w:p w14:paraId="5526001A" w14:textId="6A2FC915" w:rsidR="00F37B9C" w:rsidRDefault="00F37B9C" w:rsidP="00F37B9C">
            <w:r>
              <w:t>Jamaica</w:t>
            </w:r>
          </w:p>
        </w:tc>
        <w:tc>
          <w:tcPr>
            <w:tcW w:w="2700" w:type="dxa"/>
            <w:gridSpan w:val="2"/>
          </w:tcPr>
          <w:p w14:paraId="2DDED5EA" w14:textId="75C8E25E" w:rsidR="00F37B9C" w:rsidRDefault="00F37B9C" w:rsidP="00F37B9C">
            <w:r>
              <w:rPr>
                <w:shd w:val="clear" w:color="auto" w:fill="FFFFFF"/>
              </w:rPr>
              <w:t xml:space="preserve">Occupational Safety and Health Legislation—the </w:t>
            </w:r>
            <w:r w:rsidRPr="008B7A47">
              <w:t>Occupational Safety and Health (OSH) Bill (2017)</w:t>
            </w:r>
            <w:r>
              <w:t xml:space="preserve"> is still in draft form.</w:t>
            </w:r>
          </w:p>
        </w:tc>
        <w:tc>
          <w:tcPr>
            <w:tcW w:w="4860" w:type="dxa"/>
          </w:tcPr>
          <w:p w14:paraId="58C13E22" w14:textId="44355E94" w:rsidR="00F37B9C" w:rsidRDefault="00710CFC" w:rsidP="00710CFC">
            <w:r w:rsidRPr="00A33DA8">
              <w:rPr>
                <w:rFonts w:cstheme="minorHAnsi"/>
                <w:color w:val="222222"/>
                <w:shd w:val="clear" w:color="auto" w:fill="FFFFFF"/>
              </w:rPr>
              <w:t>The legislation requires employers operating workplaces to observe certain regulations regarding the safety and health of their workers. Its objectives are: (a) the prevention of injury and illness caused by conditions at the workplace, (b) the protection of workers from risks to their safety, health and welfare arising out of or in connection with activities in their workplaces and (c) the promotion of safe and healthy workplaces</w:t>
            </w:r>
            <w:r>
              <w:rPr>
                <w:rFonts w:cstheme="minorHAnsi"/>
                <w:color w:val="222222"/>
                <w:shd w:val="clear" w:color="auto" w:fill="FFFFFF"/>
              </w:rPr>
              <w:t xml:space="preserve">. Until it is approved, other legislation that applies to Occupational Health and Safety in Jamaica include </w:t>
            </w:r>
            <w:r>
              <w:t xml:space="preserve">the Factories Act (1943), the </w:t>
            </w:r>
            <w:proofErr w:type="spellStart"/>
            <w:r>
              <w:t>Labour</w:t>
            </w:r>
            <w:proofErr w:type="spellEnd"/>
            <w:r>
              <w:t xml:space="preserve"> Officers (Power) Act (1943), the Building Operations and Works of Engineering Construction (Safety, Health and Welfare) Regulations, the Docks (Safety, Health and Welfare) Regulations and the Women (Employment of) Act (1942).</w:t>
            </w:r>
          </w:p>
        </w:tc>
      </w:tr>
      <w:tr w:rsidR="00F37B9C" w14:paraId="4A56328E" w14:textId="77777777" w:rsidTr="00D204FA">
        <w:tc>
          <w:tcPr>
            <w:tcW w:w="1795" w:type="dxa"/>
            <w:hideMark/>
          </w:tcPr>
          <w:p w14:paraId="52597430" w14:textId="77777777" w:rsidR="00F37B9C" w:rsidRDefault="00F37B9C" w:rsidP="00F37B9C">
            <w:r>
              <w:t>Jamaica</w:t>
            </w:r>
          </w:p>
        </w:tc>
        <w:tc>
          <w:tcPr>
            <w:tcW w:w="2700" w:type="dxa"/>
            <w:gridSpan w:val="2"/>
            <w:hideMark/>
          </w:tcPr>
          <w:p w14:paraId="4CCB2C94" w14:textId="77777777" w:rsidR="00F37B9C" w:rsidRDefault="00F37B9C" w:rsidP="00F37B9C">
            <w:r>
              <w:t>Disaster Preparedness and Emergency Management Act (1993)</w:t>
            </w:r>
          </w:p>
        </w:tc>
        <w:tc>
          <w:tcPr>
            <w:tcW w:w="4860" w:type="dxa"/>
            <w:hideMark/>
          </w:tcPr>
          <w:p w14:paraId="297A0D1F" w14:textId="77777777" w:rsidR="00F37B9C" w:rsidRDefault="00F37B9C" w:rsidP="00F37B9C">
            <w:r>
              <w:t>Provides for disaster preparedness and emergency management measures.</w:t>
            </w:r>
          </w:p>
        </w:tc>
      </w:tr>
      <w:tr w:rsidR="00F37B9C" w14:paraId="170C509F" w14:textId="77777777" w:rsidTr="00D204FA">
        <w:tc>
          <w:tcPr>
            <w:tcW w:w="1795" w:type="dxa"/>
            <w:hideMark/>
          </w:tcPr>
          <w:p w14:paraId="67DE58AF" w14:textId="77777777" w:rsidR="00F37B9C" w:rsidRDefault="00F37B9C" w:rsidP="00F37B9C">
            <w:r>
              <w:t>Saint Lucia</w:t>
            </w:r>
          </w:p>
        </w:tc>
        <w:tc>
          <w:tcPr>
            <w:tcW w:w="2700" w:type="dxa"/>
            <w:gridSpan w:val="2"/>
            <w:hideMark/>
          </w:tcPr>
          <w:p w14:paraId="57FD2F61" w14:textId="77777777" w:rsidR="00F37B9C" w:rsidRDefault="00F37B9C" w:rsidP="00F37B9C">
            <w:r>
              <w:t>Public Health (Communicable and Notifiable Diseases) Regulations (1978; amended)</w:t>
            </w:r>
          </w:p>
        </w:tc>
        <w:tc>
          <w:tcPr>
            <w:tcW w:w="4860" w:type="dxa"/>
            <w:hideMark/>
          </w:tcPr>
          <w:p w14:paraId="270F751B" w14:textId="77777777" w:rsidR="00F37B9C" w:rsidRDefault="00F37B9C" w:rsidP="00F37B9C">
            <w:r>
              <w:t>Provides a list of communicable diseases that must be notified to the competent authorities under the Public Health Act.</w:t>
            </w:r>
          </w:p>
        </w:tc>
      </w:tr>
      <w:tr w:rsidR="00710CFC" w14:paraId="0D3F6998" w14:textId="77777777" w:rsidTr="00D204FA">
        <w:tc>
          <w:tcPr>
            <w:tcW w:w="1795" w:type="dxa"/>
          </w:tcPr>
          <w:p w14:paraId="613CE340" w14:textId="32EDF8D2" w:rsidR="00710CFC" w:rsidRDefault="00710CFC" w:rsidP="00F37B9C">
            <w:r>
              <w:t>Saint Lucia</w:t>
            </w:r>
          </w:p>
        </w:tc>
        <w:tc>
          <w:tcPr>
            <w:tcW w:w="2700" w:type="dxa"/>
            <w:gridSpan w:val="2"/>
          </w:tcPr>
          <w:p w14:paraId="77E6F8DF" w14:textId="09D24B1C" w:rsidR="00710CFC" w:rsidRDefault="00710CFC" w:rsidP="00F37B9C">
            <w:r>
              <w:t xml:space="preserve">Saint Lucia </w:t>
            </w:r>
            <w:proofErr w:type="spellStart"/>
            <w:r>
              <w:t>Labour</w:t>
            </w:r>
            <w:proofErr w:type="spellEnd"/>
            <w:r>
              <w:t xml:space="preserve"> Code (2006)</w:t>
            </w:r>
          </w:p>
        </w:tc>
        <w:tc>
          <w:tcPr>
            <w:tcW w:w="4860" w:type="dxa"/>
          </w:tcPr>
          <w:p w14:paraId="72E66F0E" w14:textId="11111D6D" w:rsidR="00710CFC" w:rsidRDefault="00710CFC" w:rsidP="00F37B9C">
            <w:r>
              <w:t xml:space="preserve">Under Part four, Divisions 1-4 provides for preventative health measures, protective devices and equipment, medical examinations, notification of employment injuries and diseases, training, etc. This Act obligates the employer to ensure the safety and health of all employees and to mitigate risk of exposure to any hazards in the work environment. Division three of the Code clearly outlines the procedures to be followed in relation to notification of accidents, occupational </w:t>
            </w:r>
            <w:proofErr w:type="gramStart"/>
            <w:r>
              <w:t>diseases</w:t>
            </w:r>
            <w:proofErr w:type="gramEnd"/>
            <w:r>
              <w:t xml:space="preserve"> and other diseases. Division four specifically speaks to the responsibilities of employers, </w:t>
            </w:r>
            <w:proofErr w:type="gramStart"/>
            <w:r>
              <w:t>employees</w:t>
            </w:r>
            <w:proofErr w:type="gramEnd"/>
            <w:r>
              <w:t xml:space="preserve"> and other persons in adhering to health and safety regulations.  The Code also clearly outlines the circumstances where employees may refuse to work on health and safety grounds and the procedures for how such matters should be addressed.   </w:t>
            </w:r>
          </w:p>
        </w:tc>
      </w:tr>
      <w:tr w:rsidR="00F37B9C" w14:paraId="09C98FBD" w14:textId="77777777" w:rsidTr="00D204FA">
        <w:tc>
          <w:tcPr>
            <w:tcW w:w="1795" w:type="dxa"/>
            <w:hideMark/>
          </w:tcPr>
          <w:p w14:paraId="4E7DA5FF" w14:textId="77777777" w:rsidR="00F37B9C" w:rsidRDefault="00F37B9C" w:rsidP="00F37B9C">
            <w:r>
              <w:t>Saint Lucia</w:t>
            </w:r>
          </w:p>
        </w:tc>
        <w:tc>
          <w:tcPr>
            <w:tcW w:w="2700" w:type="dxa"/>
            <w:gridSpan w:val="2"/>
            <w:hideMark/>
          </w:tcPr>
          <w:p w14:paraId="4556175B" w14:textId="77777777" w:rsidR="00F37B9C" w:rsidRDefault="00F37B9C" w:rsidP="00F37B9C">
            <w:r>
              <w:t>Public Health Act (1975)</w:t>
            </w:r>
          </w:p>
        </w:tc>
        <w:tc>
          <w:tcPr>
            <w:tcW w:w="4860" w:type="dxa"/>
            <w:hideMark/>
          </w:tcPr>
          <w:p w14:paraId="12CAD13B" w14:textId="77777777" w:rsidR="00F37B9C" w:rsidRDefault="00F37B9C" w:rsidP="00F37B9C">
            <w:r>
              <w:t xml:space="preserve">Consolidates regulations for public health, including on the prevention, treatment, </w:t>
            </w:r>
            <w:proofErr w:type="gramStart"/>
            <w:r>
              <w:t>limitation</w:t>
            </w:r>
            <w:proofErr w:type="gramEnd"/>
            <w:r>
              <w:t xml:space="preserve"> and suppression of disease.</w:t>
            </w:r>
          </w:p>
        </w:tc>
      </w:tr>
    </w:tbl>
    <w:p w14:paraId="3EC17626" w14:textId="3339C43E" w:rsidR="00F53D5F" w:rsidRDefault="00F53D5F" w:rsidP="00F53D5F">
      <w:pPr>
        <w:pStyle w:val="ListParagraph"/>
        <w:spacing w:after="0"/>
        <w:ind w:left="360"/>
        <w:jc w:val="both"/>
      </w:pPr>
    </w:p>
    <w:p w14:paraId="1EDE702A" w14:textId="77777777" w:rsidR="00F53D5F" w:rsidRPr="00E1464A" w:rsidRDefault="00F53D5F" w:rsidP="001F2D19">
      <w:pPr>
        <w:pStyle w:val="Heading1"/>
      </w:pPr>
      <w:bookmarkStart w:id="36" w:name="_Toc76399753"/>
      <w:bookmarkStart w:id="37" w:name="_Toc77191107"/>
      <w:r w:rsidRPr="00E1464A">
        <w:t>Responsible staff</w:t>
      </w:r>
      <w:bookmarkEnd w:id="36"/>
      <w:bookmarkEnd w:id="37"/>
      <w:r w:rsidRPr="00E1464A">
        <w:t xml:space="preserve"> </w:t>
      </w:r>
    </w:p>
    <w:p w14:paraId="5681D0D3" w14:textId="14350493" w:rsidR="00F53D5F" w:rsidRDefault="00F53D5F" w:rsidP="00F53D5F">
      <w:pPr>
        <w:spacing w:after="0"/>
        <w:jc w:val="both"/>
      </w:pPr>
      <w:r>
        <w:t xml:space="preserve">Responsible staff for management and supervision of activities related to the LMP are listed in Table </w:t>
      </w:r>
      <w:r w:rsidR="006A3932">
        <w:t>13.0</w:t>
      </w:r>
      <w:r>
        <w:t>.</w:t>
      </w:r>
    </w:p>
    <w:p w14:paraId="4D351920" w14:textId="0EC000A6" w:rsidR="00F53D5F" w:rsidRDefault="00F53D5F" w:rsidP="00F53D5F">
      <w:pPr>
        <w:spacing w:after="0"/>
        <w:jc w:val="both"/>
      </w:pPr>
    </w:p>
    <w:p w14:paraId="0911BEBD" w14:textId="76AAB418" w:rsidR="00F53D5F" w:rsidRPr="00F46CB4" w:rsidRDefault="00F53D5F" w:rsidP="006A3932">
      <w:pPr>
        <w:pStyle w:val="Heading2"/>
        <w:rPr>
          <w:i w:val="0"/>
          <w:iCs/>
        </w:rPr>
      </w:pPr>
      <w:bookmarkStart w:id="38" w:name="_Toc77191108"/>
      <w:r w:rsidRPr="00F46CB4">
        <w:rPr>
          <w:i w:val="0"/>
          <w:iCs/>
        </w:rPr>
        <w:t xml:space="preserve">Table </w:t>
      </w:r>
      <w:r w:rsidR="006A3932" w:rsidRPr="00F46CB4">
        <w:rPr>
          <w:i w:val="0"/>
          <w:iCs/>
        </w:rPr>
        <w:t xml:space="preserve">13.0: </w:t>
      </w:r>
      <w:r w:rsidRPr="00F46CB4">
        <w:rPr>
          <w:i w:val="0"/>
          <w:iCs/>
        </w:rPr>
        <w:t>Responsible Staff</w:t>
      </w:r>
      <w:bookmarkEnd w:id="38"/>
    </w:p>
    <w:tbl>
      <w:tblPr>
        <w:tblStyle w:val="TableGrid"/>
        <w:tblW w:w="0" w:type="auto"/>
        <w:tblLook w:val="04A0" w:firstRow="1" w:lastRow="0" w:firstColumn="1" w:lastColumn="0" w:noHBand="0" w:noVBand="1"/>
      </w:tblPr>
      <w:tblGrid>
        <w:gridCol w:w="3505"/>
        <w:gridCol w:w="5845"/>
      </w:tblGrid>
      <w:tr w:rsidR="00F53D5F" w14:paraId="5D45B37B" w14:textId="77777777" w:rsidTr="00115690">
        <w:tc>
          <w:tcPr>
            <w:tcW w:w="3505" w:type="dxa"/>
          </w:tcPr>
          <w:p w14:paraId="08CF1189" w14:textId="77777777" w:rsidR="00F53D5F" w:rsidRPr="00A120B0" w:rsidRDefault="00F53D5F" w:rsidP="00115690">
            <w:pPr>
              <w:jc w:val="both"/>
              <w:rPr>
                <w:b/>
                <w:bCs/>
              </w:rPr>
            </w:pPr>
            <w:bookmarkStart w:id="39" w:name="_Hlk77176024"/>
            <w:r w:rsidRPr="00A120B0">
              <w:rPr>
                <w:b/>
                <w:bCs/>
              </w:rPr>
              <w:t>Area</w:t>
            </w:r>
          </w:p>
        </w:tc>
        <w:tc>
          <w:tcPr>
            <w:tcW w:w="5845" w:type="dxa"/>
          </w:tcPr>
          <w:p w14:paraId="0AE06314" w14:textId="77777777" w:rsidR="00F53D5F" w:rsidRPr="00A120B0" w:rsidRDefault="00F53D5F" w:rsidP="00115690">
            <w:pPr>
              <w:jc w:val="both"/>
              <w:rPr>
                <w:b/>
                <w:bCs/>
              </w:rPr>
            </w:pPr>
            <w:r w:rsidRPr="00A120B0">
              <w:rPr>
                <w:b/>
                <w:bCs/>
              </w:rPr>
              <w:t>Function/individual</w:t>
            </w:r>
          </w:p>
        </w:tc>
      </w:tr>
      <w:tr w:rsidR="00E1464A" w:rsidRPr="00A120B0" w14:paraId="11ECB2CA" w14:textId="77777777" w:rsidTr="00115690">
        <w:tc>
          <w:tcPr>
            <w:tcW w:w="3505" w:type="dxa"/>
          </w:tcPr>
          <w:p w14:paraId="56035EE2" w14:textId="77777777" w:rsidR="00E1464A" w:rsidRPr="00A120B0" w:rsidRDefault="00E1464A" w:rsidP="00E1464A">
            <w:pPr>
              <w:jc w:val="both"/>
            </w:pPr>
            <w:r w:rsidRPr="00A120B0">
              <w:t>Engagement and management of project workers</w:t>
            </w:r>
          </w:p>
        </w:tc>
        <w:tc>
          <w:tcPr>
            <w:tcW w:w="5845" w:type="dxa"/>
          </w:tcPr>
          <w:p w14:paraId="1BF083FE" w14:textId="77777777" w:rsidR="00E1464A" w:rsidRPr="00D204FA" w:rsidRDefault="00E1464A" w:rsidP="00E1464A">
            <w:pPr>
              <w:pStyle w:val="CommentText"/>
              <w:rPr>
                <w:sz w:val="22"/>
                <w:szCs w:val="22"/>
                <w:lang w:val="fr-FR"/>
              </w:rPr>
            </w:pPr>
            <w:r w:rsidRPr="00D204FA">
              <w:rPr>
                <w:sz w:val="22"/>
                <w:szCs w:val="22"/>
                <w:lang w:val="fr-FR"/>
              </w:rPr>
              <w:t>INTEC’S Project Manager, Indhira de Jesus</w:t>
            </w:r>
          </w:p>
          <w:p w14:paraId="1180B6AD" w14:textId="7504647D" w:rsidR="00E1464A" w:rsidRPr="00E1464A" w:rsidRDefault="00E1464A" w:rsidP="00E1464A">
            <w:pPr>
              <w:jc w:val="both"/>
              <w:rPr>
                <w:lang w:val="pt-BR"/>
              </w:rPr>
            </w:pPr>
            <w:r w:rsidRPr="00E1464A">
              <w:t>IHO’s Executive Director, Nicola Bird</w:t>
            </w:r>
          </w:p>
        </w:tc>
      </w:tr>
      <w:tr w:rsidR="00E1464A" w:rsidRPr="00A120B0" w14:paraId="424D86C9" w14:textId="77777777" w:rsidTr="00115690">
        <w:tc>
          <w:tcPr>
            <w:tcW w:w="3505" w:type="dxa"/>
          </w:tcPr>
          <w:p w14:paraId="40939BBE" w14:textId="1DC547B6" w:rsidR="00E1464A" w:rsidRPr="00A120B0" w:rsidRDefault="00E1464A" w:rsidP="00E1464A">
            <w:pPr>
              <w:jc w:val="both"/>
              <w:rPr>
                <w:lang w:val="en-GB"/>
              </w:rPr>
            </w:pPr>
            <w:r w:rsidRPr="00A120B0">
              <w:t>Engagement and management of contractors</w:t>
            </w:r>
          </w:p>
        </w:tc>
        <w:tc>
          <w:tcPr>
            <w:tcW w:w="5845" w:type="dxa"/>
          </w:tcPr>
          <w:p w14:paraId="62415369" w14:textId="77777777" w:rsidR="00E1464A" w:rsidRPr="00D204FA" w:rsidRDefault="00E1464A" w:rsidP="00E1464A">
            <w:pPr>
              <w:pStyle w:val="CommentText"/>
              <w:rPr>
                <w:sz w:val="22"/>
                <w:szCs w:val="22"/>
                <w:lang w:val="fr-FR"/>
              </w:rPr>
            </w:pPr>
            <w:r w:rsidRPr="00D204FA">
              <w:rPr>
                <w:sz w:val="22"/>
                <w:szCs w:val="22"/>
                <w:lang w:val="fr-FR"/>
              </w:rPr>
              <w:t>INTEC’S Project Manager, Indhira de Jesus</w:t>
            </w:r>
          </w:p>
          <w:p w14:paraId="6AFE8BFE" w14:textId="7F29BBB5" w:rsidR="00E1464A" w:rsidRPr="00E1464A" w:rsidRDefault="00E1464A" w:rsidP="00E1464A">
            <w:pPr>
              <w:jc w:val="both"/>
              <w:rPr>
                <w:lang w:val="en-GB"/>
              </w:rPr>
            </w:pPr>
            <w:r w:rsidRPr="00E1464A">
              <w:t>IHO’s Executive Director, Nicola Bird</w:t>
            </w:r>
          </w:p>
        </w:tc>
      </w:tr>
      <w:tr w:rsidR="00E1464A" w:rsidRPr="00A120B0" w14:paraId="150B40B4" w14:textId="77777777" w:rsidTr="00115690">
        <w:tc>
          <w:tcPr>
            <w:tcW w:w="3505" w:type="dxa"/>
          </w:tcPr>
          <w:p w14:paraId="33389C12" w14:textId="77777777" w:rsidR="00E1464A" w:rsidRPr="00A120B0" w:rsidRDefault="00E1464A" w:rsidP="00E1464A">
            <w:pPr>
              <w:spacing w:line="276" w:lineRule="auto"/>
              <w:jc w:val="both"/>
            </w:pPr>
            <w:r w:rsidRPr="00A120B0">
              <w:t>Occupational health and safety</w:t>
            </w:r>
          </w:p>
          <w:p w14:paraId="1DC82A38" w14:textId="77777777" w:rsidR="00E1464A" w:rsidRPr="00A120B0" w:rsidRDefault="00E1464A" w:rsidP="00E1464A">
            <w:pPr>
              <w:jc w:val="both"/>
            </w:pPr>
          </w:p>
        </w:tc>
        <w:tc>
          <w:tcPr>
            <w:tcW w:w="5845" w:type="dxa"/>
          </w:tcPr>
          <w:p w14:paraId="1776F2AB" w14:textId="77777777" w:rsidR="00E1464A" w:rsidRPr="00E1464A" w:rsidRDefault="00E1464A" w:rsidP="00E1464A">
            <w:pPr>
              <w:pStyle w:val="CommentText"/>
              <w:rPr>
                <w:sz w:val="22"/>
                <w:szCs w:val="22"/>
              </w:rPr>
            </w:pPr>
            <w:r w:rsidRPr="00E1464A">
              <w:rPr>
                <w:sz w:val="22"/>
                <w:szCs w:val="22"/>
              </w:rPr>
              <w:t>INTEC’S Human Resources Manager, Yolanda Salazar</w:t>
            </w:r>
          </w:p>
          <w:p w14:paraId="23086B5B" w14:textId="49485905" w:rsidR="00E1464A" w:rsidRPr="00E1464A" w:rsidRDefault="00E1464A" w:rsidP="00E1464A">
            <w:pPr>
              <w:pStyle w:val="CommentText"/>
              <w:rPr>
                <w:rStyle w:val="CommentReference"/>
                <w:sz w:val="22"/>
                <w:szCs w:val="22"/>
              </w:rPr>
            </w:pPr>
            <w:r w:rsidRPr="00E1464A">
              <w:rPr>
                <w:sz w:val="22"/>
                <w:szCs w:val="22"/>
              </w:rPr>
              <w:t>IHO’s Executive Director, Nicola Bird</w:t>
            </w:r>
          </w:p>
        </w:tc>
      </w:tr>
      <w:tr w:rsidR="00E1464A" w:rsidRPr="00A120B0" w14:paraId="7A483C57" w14:textId="77777777" w:rsidTr="00115690">
        <w:tc>
          <w:tcPr>
            <w:tcW w:w="3505" w:type="dxa"/>
          </w:tcPr>
          <w:p w14:paraId="6BBDE72B" w14:textId="77777777" w:rsidR="00E1464A" w:rsidRPr="00A120B0" w:rsidRDefault="00E1464A" w:rsidP="00E1464A">
            <w:pPr>
              <w:spacing w:line="276" w:lineRule="auto"/>
              <w:jc w:val="both"/>
            </w:pPr>
            <w:r w:rsidRPr="00A120B0">
              <w:t>Training of workers</w:t>
            </w:r>
          </w:p>
          <w:p w14:paraId="6F5A5C26" w14:textId="77777777" w:rsidR="00E1464A" w:rsidRPr="00A120B0" w:rsidRDefault="00E1464A" w:rsidP="00E1464A">
            <w:pPr>
              <w:spacing w:line="276" w:lineRule="auto"/>
              <w:jc w:val="both"/>
            </w:pPr>
          </w:p>
        </w:tc>
        <w:tc>
          <w:tcPr>
            <w:tcW w:w="5845" w:type="dxa"/>
          </w:tcPr>
          <w:p w14:paraId="4FD942FC" w14:textId="77777777" w:rsidR="00E1464A" w:rsidRPr="00E1464A" w:rsidRDefault="00E1464A" w:rsidP="00E1464A">
            <w:pPr>
              <w:pStyle w:val="CommentText"/>
              <w:rPr>
                <w:sz w:val="22"/>
                <w:szCs w:val="22"/>
              </w:rPr>
            </w:pPr>
            <w:r w:rsidRPr="00E1464A">
              <w:rPr>
                <w:sz w:val="22"/>
                <w:szCs w:val="22"/>
              </w:rPr>
              <w:t xml:space="preserve">INTEC’S Human Resources Manager, Yolanda Salazar and Environment and Climate Change Specialist, Rosaura Pimentel </w:t>
            </w:r>
          </w:p>
          <w:p w14:paraId="788DFDA3" w14:textId="5CEBA1E0" w:rsidR="00E1464A" w:rsidRPr="00E1464A" w:rsidRDefault="00E1464A" w:rsidP="00E1464A">
            <w:pPr>
              <w:pStyle w:val="CommentText"/>
              <w:rPr>
                <w:rStyle w:val="CommentReference"/>
                <w:sz w:val="22"/>
                <w:szCs w:val="22"/>
              </w:rPr>
            </w:pPr>
            <w:r w:rsidRPr="00E1464A">
              <w:rPr>
                <w:sz w:val="22"/>
                <w:szCs w:val="22"/>
              </w:rPr>
              <w:t>IHO’s Social and Climate Change Specialist, Dwayne Simon</w:t>
            </w:r>
          </w:p>
        </w:tc>
      </w:tr>
      <w:tr w:rsidR="00E1464A" w:rsidRPr="00A120B0" w14:paraId="09F5DEBD" w14:textId="77777777" w:rsidTr="00115690">
        <w:tc>
          <w:tcPr>
            <w:tcW w:w="3505" w:type="dxa"/>
          </w:tcPr>
          <w:p w14:paraId="403FC5A0" w14:textId="77777777" w:rsidR="00E1464A" w:rsidRPr="00A120B0" w:rsidRDefault="00E1464A" w:rsidP="00E1464A">
            <w:pPr>
              <w:spacing w:line="276" w:lineRule="auto"/>
              <w:jc w:val="both"/>
            </w:pPr>
            <w:r w:rsidRPr="00A120B0">
              <w:t xml:space="preserve">Addressing worker grievances </w:t>
            </w:r>
          </w:p>
        </w:tc>
        <w:tc>
          <w:tcPr>
            <w:tcW w:w="5845" w:type="dxa"/>
          </w:tcPr>
          <w:p w14:paraId="69F1694B" w14:textId="77777777" w:rsidR="00E1464A" w:rsidRPr="00E1464A" w:rsidRDefault="00E1464A" w:rsidP="00E1464A">
            <w:pPr>
              <w:pStyle w:val="CommentText"/>
              <w:rPr>
                <w:sz w:val="22"/>
                <w:szCs w:val="22"/>
              </w:rPr>
            </w:pPr>
            <w:r w:rsidRPr="00E1464A">
              <w:rPr>
                <w:sz w:val="22"/>
                <w:szCs w:val="22"/>
              </w:rPr>
              <w:t>INTEC’S Human Resources Manager, Yolanda Salazar</w:t>
            </w:r>
          </w:p>
          <w:p w14:paraId="6DD7C6E3" w14:textId="6D6164EB" w:rsidR="00E1464A" w:rsidRPr="00E1464A" w:rsidRDefault="00E1464A" w:rsidP="00E1464A">
            <w:pPr>
              <w:pStyle w:val="CommentText"/>
              <w:rPr>
                <w:rStyle w:val="CommentReference"/>
                <w:sz w:val="22"/>
                <w:szCs w:val="22"/>
                <w:lang w:val="pt-BR"/>
              </w:rPr>
            </w:pPr>
            <w:r w:rsidRPr="00E1464A">
              <w:rPr>
                <w:sz w:val="22"/>
                <w:szCs w:val="22"/>
              </w:rPr>
              <w:t>IHO’s Executive Director, Nicola Bird</w:t>
            </w:r>
          </w:p>
        </w:tc>
      </w:tr>
      <w:bookmarkEnd w:id="39"/>
    </w:tbl>
    <w:p w14:paraId="386EBE45" w14:textId="5320219B" w:rsidR="00F53D5F" w:rsidRDefault="00F53D5F" w:rsidP="00F53D5F">
      <w:pPr>
        <w:spacing w:after="0"/>
        <w:jc w:val="both"/>
      </w:pPr>
    </w:p>
    <w:p w14:paraId="12FDCF30" w14:textId="7A880BAF" w:rsidR="004F7633" w:rsidRPr="00E1464A" w:rsidRDefault="00B65FF2" w:rsidP="001F2D19">
      <w:pPr>
        <w:pStyle w:val="Heading1"/>
      </w:pPr>
      <w:bookmarkStart w:id="40" w:name="_Toc49946108"/>
      <w:bookmarkStart w:id="41" w:name="_Toc77191109"/>
      <w:bookmarkStart w:id="42" w:name="_Hlk77176216"/>
      <w:bookmarkEnd w:id="32"/>
      <w:r w:rsidRPr="00E1464A">
        <w:t>Policies and Procedures</w:t>
      </w:r>
      <w:bookmarkEnd w:id="40"/>
      <w:bookmarkEnd w:id="41"/>
    </w:p>
    <w:p w14:paraId="107AF92B" w14:textId="5AD168FC" w:rsidR="00E1464A" w:rsidRDefault="00E1464A" w:rsidP="00E1464A">
      <w:bookmarkStart w:id="43" w:name="_Toc76399755"/>
      <w:bookmarkEnd w:id="42"/>
      <w:r>
        <w:t xml:space="preserve">Given the nature of the project, no major labor-related risks are expected. However, the World Bank’s provisions on Labor and Working Conditions apply given that the project will engage with direct workers and may also hire specialized consultants. Therefore, any contracts must also be consistent with the labor provisions outlined in the World Bank’s Environmental and Social Framework. Mitigation measures will be established by incorporating standardized clauses in the contract documents so that all workers are aware of the project’s Environment and Social obligations. The grantees, </w:t>
      </w:r>
      <w:proofErr w:type="gramStart"/>
      <w:r>
        <w:t>INTEC</w:t>
      </w:r>
      <w:proofErr w:type="gramEnd"/>
      <w:r>
        <w:t xml:space="preserve"> and its partner IHO will ensure compliance with the clauses. These clauses will include non-tolerance of gender-based violence (GBV), sexual harassment and sexual exploitation and abuse (SEA), discrimination. Project workers will be employed </w:t>
      </w:r>
      <w:proofErr w:type="gramStart"/>
      <w:r>
        <w:t>on the basis of</w:t>
      </w:r>
      <w:proofErr w:type="gramEnd"/>
      <w:r>
        <w:t xml:space="preserve"> equal opportunity and there will be no discrimination as it relates to compensation, working conditions and terms of employment.  All project workers will be given and receive training on the Code of Conduct as well as any OHS measures required under ESS2. </w:t>
      </w:r>
    </w:p>
    <w:p w14:paraId="58B5AB8E" w14:textId="77777777" w:rsidR="00E1464A" w:rsidRDefault="00E1464A" w:rsidP="00E1464A">
      <w:pPr>
        <w:pStyle w:val="Heading2"/>
      </w:pPr>
      <w:bookmarkStart w:id="44" w:name="_Toc49946110"/>
      <w:bookmarkStart w:id="45" w:name="_Toc77191110"/>
      <w:r>
        <w:t xml:space="preserve">Age of </w:t>
      </w:r>
      <w:r w:rsidRPr="0055321D">
        <w:t>Employment</w:t>
      </w:r>
      <w:bookmarkEnd w:id="44"/>
      <w:bookmarkEnd w:id="45"/>
    </w:p>
    <w:p w14:paraId="4C83449F" w14:textId="77777777" w:rsidR="00E1464A" w:rsidRPr="00993157" w:rsidRDefault="00E1464A" w:rsidP="00DC0F12">
      <w:pPr>
        <w:pStyle w:val="ListParagraph"/>
        <w:numPr>
          <w:ilvl w:val="0"/>
          <w:numId w:val="2"/>
        </w:numPr>
        <w:spacing w:after="200" w:line="276" w:lineRule="auto"/>
        <w:jc w:val="both"/>
      </w:pPr>
      <w:r w:rsidRPr="00993157">
        <w:t>The minimum age for employment on the project</w:t>
      </w:r>
      <w:r>
        <w:t xml:space="preserve"> is 18-years of age.</w:t>
      </w:r>
    </w:p>
    <w:p w14:paraId="62EC6007" w14:textId="2F2523F6" w:rsidR="00E1464A" w:rsidRPr="00993157" w:rsidRDefault="00E1464A" w:rsidP="00DC0F12">
      <w:pPr>
        <w:pStyle w:val="ListParagraph"/>
        <w:numPr>
          <w:ilvl w:val="0"/>
          <w:numId w:val="2"/>
        </w:numPr>
        <w:spacing w:after="200" w:line="276" w:lineRule="auto"/>
        <w:jc w:val="both"/>
      </w:pPr>
      <w:r w:rsidRPr="00993157">
        <w:t xml:space="preserve">The process that will be followed to verify the age of project workers </w:t>
      </w:r>
      <w:r>
        <w:t xml:space="preserve">is two pieces of ID, such as </w:t>
      </w:r>
      <w:r w:rsidR="00C81747">
        <w:t xml:space="preserve">national id, </w:t>
      </w:r>
      <w:r>
        <w:t xml:space="preserve">driver’s license </w:t>
      </w:r>
      <w:r w:rsidR="00C81747">
        <w:t>and/</w:t>
      </w:r>
      <w:r>
        <w:t xml:space="preserve">or passport. All potential hires will be required to present these to the Project Manager prior to being employed. </w:t>
      </w:r>
    </w:p>
    <w:p w14:paraId="212CC556" w14:textId="77777777" w:rsidR="00E1464A" w:rsidRPr="00993157" w:rsidRDefault="00E1464A" w:rsidP="00DC0F12">
      <w:pPr>
        <w:pStyle w:val="ListParagraph"/>
        <w:numPr>
          <w:ilvl w:val="0"/>
          <w:numId w:val="2"/>
        </w:numPr>
        <w:spacing w:after="200" w:line="276" w:lineRule="auto"/>
        <w:jc w:val="both"/>
      </w:pPr>
      <w:r w:rsidRPr="00993157">
        <w:t>The procedure that will be followed if underage workers are found working on the project</w:t>
      </w:r>
      <w:r>
        <w:t xml:space="preserve">: If any consultant is found hiring persons under the age of eighteen, he/she will be immediately relieved of their duties. </w:t>
      </w:r>
    </w:p>
    <w:p w14:paraId="4D9B3115" w14:textId="77777777" w:rsidR="00E1464A" w:rsidRDefault="00E1464A" w:rsidP="00DC0F12">
      <w:pPr>
        <w:pStyle w:val="ListParagraph"/>
        <w:numPr>
          <w:ilvl w:val="0"/>
          <w:numId w:val="2"/>
        </w:numPr>
        <w:spacing w:after="200" w:line="276" w:lineRule="auto"/>
        <w:jc w:val="both"/>
      </w:pPr>
      <w:r w:rsidRPr="00993157">
        <w:t>The procedure for conducting risk assessments for workers aged between the minimum age and 18</w:t>
      </w:r>
      <w:r>
        <w:t xml:space="preserve">: The implementing agency and its partner will conduct regular monitoring to ensure that no one is employed under the age of eighteen and that all the requirements of ESS2 are being adhered. </w:t>
      </w:r>
    </w:p>
    <w:p w14:paraId="63A348AC" w14:textId="040C2007" w:rsidR="00E1464A" w:rsidRPr="00CA2CC8" w:rsidRDefault="00E1464A" w:rsidP="00E1464A">
      <w:r>
        <w:t xml:space="preserve">Under this Project all consultants will be provided with a written contract, in accordance with the </w:t>
      </w:r>
      <w:proofErr w:type="spellStart"/>
      <w:r>
        <w:t>Labour</w:t>
      </w:r>
      <w:proofErr w:type="spellEnd"/>
      <w:r>
        <w:t xml:space="preserve"> Code of each country, outlining terms and conditions for executing the work they have been contracted for. The terms and conditions of employment will make adequate provisions for periods of rest per week, annual holiday, sick, maternity and vacation and bereavement leave as stipulated in the </w:t>
      </w:r>
      <w:proofErr w:type="spellStart"/>
      <w:r>
        <w:t>Labour</w:t>
      </w:r>
      <w:proofErr w:type="spellEnd"/>
      <w:r>
        <w:t xml:space="preserve"> Code as per the terms and conditions consistent with labor code in each of the countries: </w:t>
      </w:r>
    </w:p>
    <w:p w14:paraId="0A27EB8B" w14:textId="77777777" w:rsidR="00E1464A" w:rsidRPr="00726309" w:rsidRDefault="00E1464A" w:rsidP="00DC0F12">
      <w:pPr>
        <w:pStyle w:val="ListParagraph"/>
        <w:numPr>
          <w:ilvl w:val="0"/>
          <w:numId w:val="4"/>
        </w:numPr>
        <w:spacing w:after="200" w:line="276" w:lineRule="auto"/>
        <w:rPr>
          <w:i/>
          <w:iCs/>
        </w:rPr>
      </w:pPr>
      <w:r>
        <w:t xml:space="preserve">All wages are contract-based with a set amount for each year of work delivered. </w:t>
      </w:r>
    </w:p>
    <w:p w14:paraId="3883ED0B" w14:textId="77777777" w:rsidR="00E1464A" w:rsidRDefault="00E1464A" w:rsidP="00DC0F12">
      <w:pPr>
        <w:pStyle w:val="ListParagraph"/>
        <w:numPr>
          <w:ilvl w:val="0"/>
          <w:numId w:val="4"/>
        </w:numPr>
        <w:spacing w:after="200" w:line="276" w:lineRule="auto"/>
      </w:pPr>
      <w:r>
        <w:t>Staff will be both full-time and part-time.</w:t>
      </w:r>
    </w:p>
    <w:p w14:paraId="382985A7" w14:textId="77777777" w:rsidR="00E1464A" w:rsidRPr="00726309" w:rsidRDefault="00E1464A" w:rsidP="00DC0F12">
      <w:pPr>
        <w:pStyle w:val="ListParagraph"/>
        <w:numPr>
          <w:ilvl w:val="0"/>
          <w:numId w:val="4"/>
        </w:numPr>
        <w:spacing w:after="200" w:line="276" w:lineRule="auto"/>
        <w:rPr>
          <w:i/>
          <w:iCs/>
        </w:rPr>
      </w:pPr>
      <w:r w:rsidRPr="00CA2CC8">
        <w:t>The maximum hours are 40-hours per week.</w:t>
      </w:r>
    </w:p>
    <w:p w14:paraId="2BF93C86" w14:textId="77777777" w:rsidR="00E1464A" w:rsidRPr="00FD7854" w:rsidRDefault="00E1464A" w:rsidP="00DC0F12">
      <w:pPr>
        <w:pStyle w:val="ListParagraph"/>
        <w:numPr>
          <w:ilvl w:val="0"/>
          <w:numId w:val="4"/>
        </w:numPr>
        <w:spacing w:after="200" w:line="276" w:lineRule="auto"/>
        <w:rPr>
          <w:i/>
          <w:iCs/>
        </w:rPr>
      </w:pPr>
      <w:r>
        <w:t>Contracts will be signed with each staff member with an outline of responsibilities and a code of conduct.</w:t>
      </w:r>
    </w:p>
    <w:p w14:paraId="3311D5F4" w14:textId="77777777" w:rsidR="00B9410E" w:rsidRDefault="00E1464A" w:rsidP="00B9410E">
      <w:r>
        <w:t xml:space="preserve">Project consultants will also be provided with a Code of Conduct. </w:t>
      </w:r>
      <w:r w:rsidR="00B9410E">
        <w:t xml:space="preserve">Project consultants will be managed according to the terms and conditions outlined in their signed contract. The Project Managers at INTEC and IHO respectively will be responsible for providing oversight over the execution of contracts. The Project Managers will also be responsible for ensuring that all consultants or individuals hired for the project are implementing project activities according to their agreed upon Terms of Reference which will form part of the contract document. Additionally, a copy of the workers’ Grievance Redress Mechanism and Code of Conduct will be made available to all workers hired as part of the project. </w:t>
      </w:r>
    </w:p>
    <w:p w14:paraId="61C1ED4A" w14:textId="7FDF218D" w:rsidR="00DD3AD3" w:rsidRDefault="006A3932" w:rsidP="001F2D19">
      <w:pPr>
        <w:pStyle w:val="Heading1"/>
      </w:pPr>
      <w:bookmarkStart w:id="46" w:name="_Toc77191111"/>
      <w:r w:rsidRPr="00DD3AD3">
        <w:t>Contracted</w:t>
      </w:r>
      <w:r w:rsidRPr="00AD3C91">
        <w:t xml:space="preserve"> workers</w:t>
      </w:r>
      <w:bookmarkStart w:id="47" w:name="_Toc76399756"/>
      <w:bookmarkEnd w:id="43"/>
      <w:bookmarkEnd w:id="46"/>
    </w:p>
    <w:p w14:paraId="004137AE" w14:textId="316CA850" w:rsidR="00B9410E" w:rsidRDefault="00B9410E" w:rsidP="00B9410E">
      <w:r>
        <w:t xml:space="preserve">INTEC does not anticipate having any workers for this project hired thru a third party or contractor. If it were to happen, contractors will be required to follow national labor laws and ensure compliance with the requirements of the ESF. </w:t>
      </w:r>
    </w:p>
    <w:p w14:paraId="43D30C0E" w14:textId="77777777" w:rsidR="00DD3AD3" w:rsidRPr="0096636C" w:rsidRDefault="00DD3AD3" w:rsidP="001F2D19">
      <w:pPr>
        <w:pStyle w:val="Heading1"/>
      </w:pPr>
      <w:bookmarkStart w:id="48" w:name="_Toc49946120"/>
      <w:bookmarkStart w:id="49" w:name="_Toc77191112"/>
      <w:r w:rsidRPr="0096636C">
        <w:t xml:space="preserve">Community </w:t>
      </w:r>
      <w:r w:rsidRPr="009E2729">
        <w:t>Workers</w:t>
      </w:r>
      <w:bookmarkEnd w:id="48"/>
      <w:bookmarkEnd w:id="49"/>
    </w:p>
    <w:p w14:paraId="1CB01026" w14:textId="77777777" w:rsidR="005F1321" w:rsidRDefault="005F1321" w:rsidP="005F1321">
      <w:pPr>
        <w:spacing w:after="0"/>
        <w:jc w:val="both"/>
        <w:rPr>
          <w:bCs/>
          <w:iCs/>
          <w:color w:val="000000"/>
        </w:rPr>
      </w:pPr>
      <w:r>
        <w:rPr>
          <w:bCs/>
          <w:iCs/>
          <w:color w:val="000000"/>
        </w:rPr>
        <w:t xml:space="preserve">No community workers are expected to be employed/engaged directly by INTEC/IHO, and there are no sub-grants or sub-projects expected under INTEC/IHO. </w:t>
      </w:r>
    </w:p>
    <w:p w14:paraId="29683FB2" w14:textId="77777777" w:rsidR="005F1321" w:rsidRDefault="005F1321" w:rsidP="005F1321">
      <w:pPr>
        <w:spacing w:after="0"/>
        <w:jc w:val="both"/>
        <w:rPr>
          <w:bCs/>
          <w:iCs/>
          <w:color w:val="000000"/>
        </w:rPr>
      </w:pPr>
    </w:p>
    <w:p w14:paraId="1F606ADB" w14:textId="77777777" w:rsidR="005F1321" w:rsidRDefault="005F1321" w:rsidP="005F1321">
      <w:pPr>
        <w:spacing w:after="0"/>
        <w:jc w:val="both"/>
        <w:rPr>
          <w:bCs/>
          <w:iCs/>
          <w:color w:val="000000"/>
        </w:rPr>
      </w:pPr>
      <w:r>
        <w:rPr>
          <w:bCs/>
          <w:iCs/>
          <w:color w:val="000000"/>
        </w:rPr>
        <w:t xml:space="preserve">In the eventuality that the need for engaging community workers is identified, this document will be amended in consonance with the Bank guidelines prior to any such engagement. </w:t>
      </w:r>
    </w:p>
    <w:p w14:paraId="629D8C86" w14:textId="405C2FC3" w:rsidR="004F7633" w:rsidRDefault="00B65FF2" w:rsidP="001F2D19">
      <w:pPr>
        <w:pStyle w:val="Heading1"/>
      </w:pPr>
      <w:bookmarkStart w:id="50" w:name="_Toc49946116"/>
      <w:bookmarkStart w:id="51" w:name="_Toc77191113"/>
      <w:bookmarkEnd w:id="47"/>
      <w:r w:rsidRPr="006A3932">
        <w:t>Grievance</w:t>
      </w:r>
      <w:r>
        <w:t xml:space="preserve"> Mechanism</w:t>
      </w:r>
      <w:bookmarkEnd w:id="50"/>
      <w:bookmarkEnd w:id="51"/>
    </w:p>
    <w:p w14:paraId="5124E604" w14:textId="62443F0C" w:rsidR="004F7633" w:rsidRDefault="004F7633" w:rsidP="004F7633">
      <w:pPr>
        <w:ind w:left="-4"/>
      </w:pPr>
      <w:r>
        <w:t>The Grievance Mechanism for all Project staff or contractual employees</w:t>
      </w:r>
      <w:r w:rsidR="005F1321">
        <w:t xml:space="preserve"> (</w:t>
      </w:r>
      <w:proofErr w:type="spellStart"/>
      <w:r w:rsidR="005F1321">
        <w:t>ie</w:t>
      </w:r>
      <w:proofErr w:type="spellEnd"/>
      <w:r w:rsidR="005F1321">
        <w:t>. Consultants)</w:t>
      </w:r>
      <w:r>
        <w:t xml:space="preserve"> is as follows: </w:t>
      </w:r>
    </w:p>
    <w:p w14:paraId="0F991287" w14:textId="6ED9AA11" w:rsidR="004F7633" w:rsidRDefault="004F7633" w:rsidP="004F7633">
      <w:pPr>
        <w:ind w:left="-4"/>
      </w:pPr>
      <w:r>
        <w:t>The Project Manager</w:t>
      </w:r>
      <w:r w:rsidR="00B65FF2">
        <w:t>s</w:t>
      </w:r>
      <w:r>
        <w:t xml:space="preserve"> will be the point of contact for all Grievances. Contact information (Table 1</w:t>
      </w:r>
      <w:r w:rsidR="001F203A">
        <w:t>7</w:t>
      </w:r>
      <w:r>
        <w:t>.</w:t>
      </w:r>
      <w:r w:rsidR="00B65FF2">
        <w:t>0</w:t>
      </w:r>
      <w:r>
        <w:t>)</w:t>
      </w:r>
      <w:r w:rsidR="00B65FF2">
        <w:t xml:space="preserve"> </w:t>
      </w:r>
      <w:r>
        <w:t xml:space="preserve">will be provided to workers upon signing of contract.   </w:t>
      </w:r>
    </w:p>
    <w:p w14:paraId="7E688E2B" w14:textId="69857BC7" w:rsidR="004F7633" w:rsidRDefault="004F7633" w:rsidP="004F7633">
      <w:pPr>
        <w:ind w:left="-4"/>
      </w:pPr>
      <w:r>
        <w:t xml:space="preserve">Upon receipt of Grievances (not channeled through the project manager,) the staff will notify the Project Manager and/or Social Specialist within 24 hours of receiving complaint. In the case of issues with project management staff, the Project Manager may be required to exclude herself if the compliant directly involves her. </w:t>
      </w:r>
    </w:p>
    <w:p w14:paraId="0C23129E" w14:textId="48EFEC82" w:rsidR="004F7633" w:rsidRDefault="004F7633" w:rsidP="004F7633">
      <w:pPr>
        <w:ind w:left="-4"/>
      </w:pPr>
      <w:bookmarkStart w:id="52" w:name="_Hlk41994009"/>
      <w:r>
        <w:t>All received grievances will be recorded in a grievance register within 24 hours of receipt by the Project Manager</w:t>
      </w:r>
      <w:r w:rsidR="00B65FF2">
        <w:t>s</w:t>
      </w:r>
      <w:r>
        <w:t>. The Project Manager</w:t>
      </w:r>
      <w:r w:rsidR="00B65FF2">
        <w:t>s</w:t>
      </w:r>
      <w:r>
        <w:t xml:space="preserve"> will attempt to address and resolve the grievance within the established time frame of three-weeks upon receipt. In cases of matters which require more urgent attention, a period of a minimum of twenty-four hours and a maximum of fifteen days will be allotted for addressing and resolving the grievance. Grievances can be made in person, by telephone call, or in writing. Grievances can be made anonymously. A dedicated email and telephone number will be provided for all Grievances. For grievances made via telephone or in person, grievances will be recorded a grievance register within 24 hours of receipt by the Project Manager</w:t>
      </w:r>
      <w:r w:rsidR="00B65FF2">
        <w:t>s</w:t>
      </w:r>
      <w:r>
        <w:t xml:space="preserve"> and the complainant asked to sign same. </w:t>
      </w:r>
    </w:p>
    <w:bookmarkEnd w:id="52"/>
    <w:p w14:paraId="388DE8C7" w14:textId="77777777" w:rsidR="004F7633" w:rsidRDefault="004F7633" w:rsidP="004F7633">
      <w:pPr>
        <w:jc w:val="both"/>
      </w:pPr>
      <w:r w:rsidRPr="00303E7D">
        <w:t xml:space="preserve">All workers will be made aware on employment contracts </w:t>
      </w:r>
      <w:r>
        <w:t xml:space="preserve">of the </w:t>
      </w:r>
      <w:r w:rsidRPr="00303E7D">
        <w:t xml:space="preserve">grievance mechanisms </w:t>
      </w:r>
      <w:r>
        <w:t xml:space="preserve">that are </w:t>
      </w:r>
      <w:r w:rsidRPr="00303E7D">
        <w:t>in place and what those consist of.</w:t>
      </w:r>
      <w:r>
        <w:t xml:space="preserve"> Workers will have access to the following grievance information: </w:t>
      </w:r>
    </w:p>
    <w:p w14:paraId="3727E8AB" w14:textId="77777777" w:rsidR="004F7633" w:rsidRPr="00316C2E" w:rsidRDefault="004F7633" w:rsidP="00DC0F12">
      <w:pPr>
        <w:pStyle w:val="ListParagraph"/>
        <w:numPr>
          <w:ilvl w:val="0"/>
          <w:numId w:val="3"/>
        </w:numPr>
        <w:spacing w:after="200" w:line="276" w:lineRule="auto"/>
        <w:jc w:val="both"/>
        <w:rPr>
          <w:i/>
          <w:iCs/>
        </w:rPr>
      </w:pPr>
      <w:r>
        <w:t xml:space="preserve">The option of either verbal or written grievance complaint. </w:t>
      </w:r>
    </w:p>
    <w:p w14:paraId="1115C1D0" w14:textId="77777777" w:rsidR="004F7633" w:rsidRPr="00316C2E" w:rsidRDefault="004F7633" w:rsidP="00DC0F12">
      <w:pPr>
        <w:pStyle w:val="ListParagraph"/>
        <w:numPr>
          <w:ilvl w:val="0"/>
          <w:numId w:val="3"/>
        </w:numPr>
        <w:spacing w:after="200" w:line="276" w:lineRule="auto"/>
        <w:jc w:val="both"/>
        <w:rPr>
          <w:i/>
          <w:iCs/>
        </w:rPr>
      </w:pPr>
      <w:r>
        <w:t>Contact information for grievance submission</w:t>
      </w:r>
    </w:p>
    <w:p w14:paraId="0AB90C4D" w14:textId="77777777" w:rsidR="004F7633" w:rsidRPr="00E8701C" w:rsidRDefault="004F7633" w:rsidP="00DC0F12">
      <w:pPr>
        <w:pStyle w:val="ListParagraph"/>
        <w:numPr>
          <w:ilvl w:val="0"/>
          <w:numId w:val="3"/>
        </w:numPr>
        <w:spacing w:after="200" w:line="276" w:lineRule="auto"/>
        <w:jc w:val="both"/>
        <w:rPr>
          <w:i/>
          <w:iCs/>
        </w:rPr>
      </w:pPr>
      <w:r>
        <w:t>Timelines for grievance response: minimum 24-hours, maximum 3-weeks.</w:t>
      </w:r>
    </w:p>
    <w:p w14:paraId="7819A13D" w14:textId="78E45B97" w:rsidR="004F7633" w:rsidRPr="00E8701C" w:rsidRDefault="004F7633" w:rsidP="00DC0F12">
      <w:pPr>
        <w:pStyle w:val="ListParagraph"/>
        <w:numPr>
          <w:ilvl w:val="0"/>
          <w:numId w:val="3"/>
        </w:numPr>
        <w:spacing w:after="200" w:line="276" w:lineRule="auto"/>
        <w:jc w:val="both"/>
        <w:rPr>
          <w:i/>
          <w:iCs/>
        </w:rPr>
      </w:pPr>
      <w:r>
        <w:t>Grievance forms will be simple and easily available: the workers describe the actual grievance, allow the organization to track the investigation, conciliation</w:t>
      </w:r>
      <w:r w:rsidR="007D751D">
        <w:t>,</w:t>
      </w:r>
      <w:r>
        <w:t xml:space="preserve"> and remediation steps, and be available to all workers.</w:t>
      </w:r>
    </w:p>
    <w:p w14:paraId="55397570" w14:textId="77777777" w:rsidR="008D7A75" w:rsidRPr="00367E50" w:rsidRDefault="004F7633" w:rsidP="00367E50">
      <w:pPr>
        <w:pStyle w:val="ListParagraph"/>
        <w:numPr>
          <w:ilvl w:val="0"/>
          <w:numId w:val="3"/>
        </w:numPr>
        <w:shd w:val="clear" w:color="auto" w:fill="FFFFFF" w:themeFill="background1"/>
        <w:spacing w:after="200" w:line="276" w:lineRule="auto"/>
        <w:jc w:val="both"/>
        <w:rPr>
          <w:lang w:val="en-CA" w:eastAsia="en-CA"/>
        </w:rPr>
      </w:pPr>
      <w:r>
        <w:t xml:space="preserve">The possibility to hold an open and </w:t>
      </w:r>
      <w:r w:rsidR="00246205">
        <w:t xml:space="preserve">a </w:t>
      </w:r>
      <w:r>
        <w:t xml:space="preserve">constructive meeting about a grievance with their immediate </w:t>
      </w:r>
      <w:r w:rsidRPr="00367E50">
        <w:t xml:space="preserve">manage/supervisor. </w:t>
      </w:r>
    </w:p>
    <w:p w14:paraId="5BCC109A" w14:textId="6CBD6807" w:rsidR="008D7A75" w:rsidRPr="00367E50" w:rsidRDefault="004F7633" w:rsidP="00367E50">
      <w:pPr>
        <w:pStyle w:val="ListParagraph"/>
        <w:numPr>
          <w:ilvl w:val="0"/>
          <w:numId w:val="3"/>
        </w:numPr>
        <w:shd w:val="clear" w:color="auto" w:fill="FFFFFF" w:themeFill="background1"/>
        <w:spacing w:after="200" w:line="276" w:lineRule="auto"/>
        <w:jc w:val="both"/>
        <w:rPr>
          <w:lang w:val="en-CA" w:eastAsia="en-CA"/>
        </w:rPr>
      </w:pPr>
      <w:r w:rsidRPr="00367E50">
        <w:t>The right to appeal to another manager/supervisor against a decision made by their manager.</w:t>
      </w:r>
      <w:r w:rsidR="008D7A75" w:rsidRPr="00367E50">
        <w:t xml:space="preserve"> </w:t>
      </w:r>
      <w:r w:rsidR="008D7A75" w:rsidRPr="00367E50">
        <w:rPr>
          <w:lang w:val="en-CA" w:eastAsia="en-CA"/>
        </w:rPr>
        <w:t xml:space="preserve">If the workers are not satisfied and do not have confidence in those managing the grievances, they </w:t>
      </w:r>
      <w:r w:rsidR="005F1321" w:rsidRPr="00367E50">
        <w:rPr>
          <w:lang w:val="en-CA" w:eastAsia="en-CA"/>
        </w:rPr>
        <w:t xml:space="preserve">can </w:t>
      </w:r>
      <w:r w:rsidR="008D7A75" w:rsidRPr="00367E50">
        <w:rPr>
          <w:lang w:val="en-CA" w:eastAsia="en-CA"/>
        </w:rPr>
        <w:t>escalate the matter</w:t>
      </w:r>
      <w:r w:rsidR="005F1321" w:rsidRPr="00367E50">
        <w:rPr>
          <w:lang w:val="en-CA" w:eastAsia="en-CA"/>
        </w:rPr>
        <w:t>. IHO staff can appeal to INTEC or directly to</w:t>
      </w:r>
      <w:r w:rsidR="008D7A75" w:rsidRPr="00367E50">
        <w:rPr>
          <w:lang w:val="en-CA" w:eastAsia="en-CA"/>
        </w:rPr>
        <w:t xml:space="preserve"> the Grievance Mechanisms of the Implementing Agency—Conservation International.</w:t>
      </w:r>
      <w:r w:rsidR="005F1321" w:rsidRPr="00367E50">
        <w:rPr>
          <w:lang w:val="en-CA" w:eastAsia="en-CA"/>
        </w:rPr>
        <w:t xml:space="preserve"> INTEC staff/consultants can appeal directly to the Grievance Mechanisms of the Implementing Agency—Conservation International.  </w:t>
      </w:r>
    </w:p>
    <w:p w14:paraId="685CD1EB" w14:textId="77777777" w:rsidR="00311474" w:rsidRPr="00367E50" w:rsidRDefault="004F7633" w:rsidP="00367E50">
      <w:pPr>
        <w:pStyle w:val="ListParagraph"/>
        <w:numPr>
          <w:ilvl w:val="0"/>
          <w:numId w:val="3"/>
        </w:numPr>
        <w:shd w:val="clear" w:color="auto" w:fill="FFFFFF" w:themeFill="background1"/>
        <w:spacing w:after="200" w:line="276" w:lineRule="auto"/>
        <w:jc w:val="both"/>
        <w:rPr>
          <w:i/>
          <w:iCs/>
        </w:rPr>
      </w:pPr>
      <w:r w:rsidRPr="00367E50">
        <w:t>The workers’ right to be accompanied by a fellow worker or support of her/his own choice when attending the meeting to discuss a grievance.</w:t>
      </w:r>
    </w:p>
    <w:p w14:paraId="1C689EFC" w14:textId="53A5121C" w:rsidR="00311474" w:rsidRPr="00367E50" w:rsidRDefault="00311474" w:rsidP="00367E50">
      <w:pPr>
        <w:pStyle w:val="ListParagraph"/>
        <w:numPr>
          <w:ilvl w:val="0"/>
          <w:numId w:val="3"/>
        </w:numPr>
        <w:shd w:val="clear" w:color="auto" w:fill="FFFFFF" w:themeFill="background1"/>
        <w:spacing w:after="200" w:line="276" w:lineRule="auto"/>
        <w:jc w:val="both"/>
        <w:rPr>
          <w:i/>
          <w:iCs/>
        </w:rPr>
      </w:pPr>
      <w:r w:rsidRPr="00367E50">
        <w:t>T</w:t>
      </w:r>
      <w:r w:rsidRPr="00367E50">
        <w:rPr>
          <w:lang w:val="en-CA" w:eastAsia="en-CA"/>
        </w:rPr>
        <w:t xml:space="preserve">he </w:t>
      </w:r>
      <w:r w:rsidRPr="00367E50">
        <w:t xml:space="preserve">Ministry of </w:t>
      </w:r>
      <w:proofErr w:type="spellStart"/>
      <w:r w:rsidRPr="00367E50">
        <w:t>Labour</w:t>
      </w:r>
      <w:proofErr w:type="spellEnd"/>
      <w:r w:rsidRPr="00367E50">
        <w:t xml:space="preserve"> of the respective country</w:t>
      </w:r>
      <w:r w:rsidRPr="00367E50">
        <w:rPr>
          <w:lang w:val="en-CA" w:eastAsia="en-CA"/>
        </w:rPr>
        <w:t xml:space="preserve"> or the National Courts are alternatives that the affected person (worker) can use.</w:t>
      </w:r>
    </w:p>
    <w:p w14:paraId="0C7D8469" w14:textId="77777777" w:rsidR="007D751D" w:rsidRDefault="007D751D" w:rsidP="007D751D">
      <w:r>
        <w:t xml:space="preserve">The complainant will be informed in writing of the measures taken to address the grievance by the Project Manager if the complaint is against the project manager. </w:t>
      </w:r>
    </w:p>
    <w:p w14:paraId="490D4725" w14:textId="77777777" w:rsidR="004F7633" w:rsidRDefault="004F7633" w:rsidP="004F7633">
      <w:pPr>
        <w:ind w:left="-4"/>
      </w:pPr>
      <w:r>
        <w:t xml:space="preserve">If issues cannot be resolved, the issue will be referred to the Ministry of </w:t>
      </w:r>
      <w:proofErr w:type="spellStart"/>
      <w:r>
        <w:t>Labour</w:t>
      </w:r>
      <w:proofErr w:type="spellEnd"/>
      <w:r>
        <w:t xml:space="preserve"> of the respective country for their action and pronouncement. The Ministry of </w:t>
      </w:r>
      <w:proofErr w:type="spellStart"/>
      <w:r>
        <w:t>Labour’s</w:t>
      </w:r>
      <w:proofErr w:type="spellEnd"/>
      <w:r>
        <w:t xml:space="preserve"> ruling would be the final tier of the grievance mechanism. </w:t>
      </w:r>
    </w:p>
    <w:p w14:paraId="1D6F3348" w14:textId="51DF91B7" w:rsidR="004F7633" w:rsidRDefault="004F7633" w:rsidP="004F7633">
      <w:pPr>
        <w:ind w:left="-4"/>
      </w:pPr>
      <w:r>
        <w:t xml:space="preserve">If unresolved, either party may seek redress in the courts of the Country. Parties involved will be advised that they can directly contact the Project Office Ministry. </w:t>
      </w:r>
    </w:p>
    <w:p w14:paraId="4E0F06A8" w14:textId="77777777" w:rsidR="004F7633" w:rsidRDefault="004F7633" w:rsidP="004F7633">
      <w:pPr>
        <w:spacing w:after="219"/>
        <w:ind w:left="-3" w:hanging="10"/>
        <w:rPr>
          <w:b/>
        </w:rPr>
      </w:pPr>
      <w:r>
        <w:rPr>
          <w:b/>
        </w:rPr>
        <w:t xml:space="preserve">All received grievances received by the project shall be logged and filed.  </w:t>
      </w:r>
    </w:p>
    <w:p w14:paraId="7655F51D" w14:textId="7CDB0E96" w:rsidR="004F7633" w:rsidRDefault="004F7633" w:rsidP="00246205">
      <w:pPr>
        <w:pStyle w:val="Heading2"/>
      </w:pPr>
      <w:bookmarkStart w:id="53" w:name="_Toc49946117"/>
      <w:bookmarkStart w:id="54" w:name="_Toc77191114"/>
      <w:r>
        <w:t xml:space="preserve">Table </w:t>
      </w:r>
      <w:r w:rsidR="001F203A">
        <w:t>17.0:</w:t>
      </w:r>
      <w:r>
        <w:t xml:space="preserve"> Contact names for grievance complaints</w:t>
      </w:r>
      <w:bookmarkEnd w:id="53"/>
      <w:bookmarkEnd w:id="54"/>
    </w:p>
    <w:tbl>
      <w:tblPr>
        <w:tblStyle w:val="TableGrid0"/>
        <w:tblW w:w="8984" w:type="dxa"/>
        <w:tblInd w:w="7" w:type="dxa"/>
        <w:tblCellMar>
          <w:top w:w="44" w:type="dxa"/>
        </w:tblCellMar>
        <w:tblLook w:val="04A0" w:firstRow="1" w:lastRow="0" w:firstColumn="1" w:lastColumn="0" w:noHBand="0" w:noVBand="1"/>
      </w:tblPr>
      <w:tblGrid>
        <w:gridCol w:w="1316"/>
        <w:gridCol w:w="1748"/>
        <w:gridCol w:w="1573"/>
        <w:gridCol w:w="2792"/>
        <w:gridCol w:w="1555"/>
      </w:tblGrid>
      <w:tr w:rsidR="004F7633" w14:paraId="04247239" w14:textId="77777777" w:rsidTr="00456455">
        <w:trPr>
          <w:trHeight w:val="541"/>
        </w:trPr>
        <w:tc>
          <w:tcPr>
            <w:tcW w:w="1316"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5AA9583D" w14:textId="77777777" w:rsidR="004F7633" w:rsidRPr="00FC597A" w:rsidRDefault="004F7633" w:rsidP="00456455">
            <w:pPr>
              <w:spacing w:line="259" w:lineRule="auto"/>
              <w:jc w:val="center"/>
              <w:rPr>
                <w:color w:val="FFFFFF" w:themeColor="background1"/>
              </w:rPr>
            </w:pPr>
            <w:r>
              <w:rPr>
                <w:b/>
                <w:color w:val="FFFFFF" w:themeColor="background1"/>
              </w:rPr>
              <w:t>Name</w:t>
            </w:r>
          </w:p>
        </w:tc>
        <w:tc>
          <w:tcPr>
            <w:tcW w:w="1748"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2DAAFBFF" w14:textId="77777777" w:rsidR="004F7633" w:rsidRPr="00FC597A" w:rsidRDefault="004F7633" w:rsidP="00456455">
            <w:pPr>
              <w:spacing w:line="259" w:lineRule="auto"/>
              <w:ind w:left="1"/>
              <w:jc w:val="center"/>
              <w:rPr>
                <w:color w:val="FFFFFF" w:themeColor="background1"/>
              </w:rPr>
            </w:pPr>
            <w:r>
              <w:rPr>
                <w:b/>
                <w:color w:val="FFFFFF" w:themeColor="background1"/>
              </w:rPr>
              <w:t>Title</w:t>
            </w:r>
          </w:p>
        </w:tc>
        <w:tc>
          <w:tcPr>
            <w:tcW w:w="1573"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13922554" w14:textId="77777777" w:rsidR="004F7633" w:rsidRPr="00EF344D" w:rsidRDefault="004F7633" w:rsidP="00456455">
            <w:pPr>
              <w:spacing w:line="259" w:lineRule="auto"/>
              <w:ind w:left="1"/>
              <w:jc w:val="center"/>
              <w:rPr>
                <w:b/>
                <w:bCs/>
                <w:color w:val="FFFFFF" w:themeColor="background1"/>
              </w:rPr>
            </w:pPr>
            <w:r w:rsidRPr="00EF344D">
              <w:rPr>
                <w:b/>
                <w:bCs/>
                <w:color w:val="FFFFFF" w:themeColor="background1"/>
              </w:rPr>
              <w:t>Phone</w:t>
            </w:r>
          </w:p>
        </w:tc>
        <w:tc>
          <w:tcPr>
            <w:tcW w:w="2792"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68AECA20" w14:textId="77777777" w:rsidR="004F7633" w:rsidRPr="00FC597A" w:rsidRDefault="004F7633" w:rsidP="00456455">
            <w:pPr>
              <w:spacing w:line="259" w:lineRule="auto"/>
              <w:ind w:left="1"/>
              <w:jc w:val="center"/>
              <w:rPr>
                <w:b/>
                <w:bCs/>
                <w:color w:val="FFFFFF" w:themeColor="background1"/>
              </w:rPr>
            </w:pPr>
            <w:r>
              <w:rPr>
                <w:b/>
                <w:bCs/>
                <w:color w:val="FFFFFF" w:themeColor="background1"/>
              </w:rPr>
              <w:t>Email</w:t>
            </w:r>
          </w:p>
        </w:tc>
        <w:tc>
          <w:tcPr>
            <w:tcW w:w="1555" w:type="dxa"/>
            <w:tcBorders>
              <w:top w:val="single" w:sz="4" w:space="0" w:color="000000"/>
              <w:left w:val="single" w:sz="4" w:space="0" w:color="000000"/>
              <w:bottom w:val="single" w:sz="4" w:space="0" w:color="000000"/>
              <w:right w:val="single" w:sz="4" w:space="0" w:color="000000"/>
            </w:tcBorders>
            <w:shd w:val="clear" w:color="auto" w:fill="4472C4" w:themeFill="accent1"/>
          </w:tcPr>
          <w:p w14:paraId="148D19D3" w14:textId="1D7A0CAD" w:rsidR="004F7633" w:rsidRPr="00FC597A" w:rsidRDefault="00657CFE" w:rsidP="00456455">
            <w:pPr>
              <w:spacing w:line="259" w:lineRule="auto"/>
              <w:ind w:left="1"/>
              <w:jc w:val="center"/>
              <w:rPr>
                <w:color w:val="FFFFFF" w:themeColor="background1"/>
              </w:rPr>
            </w:pPr>
            <w:r>
              <w:rPr>
                <w:b/>
                <w:color w:val="FFFFFF" w:themeColor="background1"/>
              </w:rPr>
              <w:t>Physical Address</w:t>
            </w:r>
          </w:p>
        </w:tc>
      </w:tr>
      <w:tr w:rsidR="00657CFE" w:rsidRPr="00D37884" w14:paraId="2F215242" w14:textId="77777777" w:rsidTr="00456455">
        <w:trPr>
          <w:trHeight w:val="609"/>
        </w:trPr>
        <w:tc>
          <w:tcPr>
            <w:tcW w:w="1316" w:type="dxa"/>
            <w:tcBorders>
              <w:top w:val="single" w:sz="4" w:space="0" w:color="000000"/>
              <w:left w:val="single" w:sz="4" w:space="0" w:color="000000"/>
              <w:bottom w:val="single" w:sz="4" w:space="0" w:color="000000"/>
              <w:right w:val="single" w:sz="4" w:space="0" w:color="000000"/>
            </w:tcBorders>
          </w:tcPr>
          <w:p w14:paraId="053E9B86" w14:textId="1D1246F4" w:rsidR="00657CFE" w:rsidRDefault="00657CFE" w:rsidP="00657CFE">
            <w:pPr>
              <w:spacing w:line="259" w:lineRule="auto"/>
            </w:pPr>
            <w:r>
              <w:rPr>
                <w:shd w:val="clear" w:color="auto" w:fill="FFFFFF"/>
              </w:rPr>
              <w:t>Indhira De Jesús</w:t>
            </w:r>
          </w:p>
        </w:tc>
        <w:tc>
          <w:tcPr>
            <w:tcW w:w="1748" w:type="dxa"/>
            <w:tcBorders>
              <w:top w:val="single" w:sz="4" w:space="0" w:color="000000"/>
              <w:left w:val="single" w:sz="4" w:space="0" w:color="000000"/>
              <w:bottom w:val="single" w:sz="4" w:space="0" w:color="000000"/>
              <w:right w:val="single" w:sz="4" w:space="0" w:color="000000"/>
            </w:tcBorders>
          </w:tcPr>
          <w:p w14:paraId="4DE11A9A" w14:textId="5777B62C" w:rsidR="00657CFE" w:rsidRDefault="00657CFE" w:rsidP="00657CFE">
            <w:pPr>
              <w:spacing w:line="259" w:lineRule="auto"/>
              <w:ind w:left="1"/>
            </w:pPr>
            <w:r>
              <w:t>INTEC Project Manager</w:t>
            </w:r>
          </w:p>
        </w:tc>
        <w:tc>
          <w:tcPr>
            <w:tcW w:w="1573" w:type="dxa"/>
            <w:tcBorders>
              <w:top w:val="single" w:sz="4" w:space="0" w:color="000000"/>
              <w:left w:val="single" w:sz="4" w:space="0" w:color="000000"/>
              <w:bottom w:val="single" w:sz="4" w:space="0" w:color="000000"/>
              <w:right w:val="single" w:sz="4" w:space="0" w:color="000000"/>
            </w:tcBorders>
          </w:tcPr>
          <w:p w14:paraId="2E4CCD15" w14:textId="1F944AD5" w:rsidR="00657CFE" w:rsidRPr="00D722E0" w:rsidRDefault="00657CFE" w:rsidP="00657CFE">
            <w:pPr>
              <w:rPr>
                <w:lang w:val="ro-RO"/>
              </w:rPr>
            </w:pPr>
            <w:r>
              <w:rPr>
                <w:lang w:val="ro-RO"/>
              </w:rPr>
              <w:t>+1-</w:t>
            </w:r>
            <w:r w:rsidRPr="00D722E0">
              <w:rPr>
                <w:lang w:val="ro-RO"/>
              </w:rPr>
              <w:t>809-</w:t>
            </w:r>
            <w:r w:rsidRPr="00394121">
              <w:rPr>
                <w:lang w:val="es-CO"/>
              </w:rPr>
              <w:t>567-9271 x</w:t>
            </w:r>
            <w:r>
              <w:rPr>
                <w:lang w:val="es-CO"/>
              </w:rPr>
              <w:t>445</w:t>
            </w:r>
          </w:p>
          <w:p w14:paraId="09274A41" w14:textId="047307B8" w:rsidR="00657CFE" w:rsidRDefault="00657CFE" w:rsidP="00657CFE"/>
        </w:tc>
        <w:tc>
          <w:tcPr>
            <w:tcW w:w="2792" w:type="dxa"/>
            <w:tcBorders>
              <w:top w:val="single" w:sz="4" w:space="0" w:color="000000"/>
              <w:left w:val="single" w:sz="4" w:space="0" w:color="000000"/>
              <w:bottom w:val="single" w:sz="4" w:space="0" w:color="000000"/>
              <w:right w:val="single" w:sz="4" w:space="0" w:color="000000"/>
            </w:tcBorders>
          </w:tcPr>
          <w:p w14:paraId="2F500154" w14:textId="74D98358" w:rsidR="00657CFE" w:rsidRDefault="00CA5582" w:rsidP="00657CFE">
            <w:pPr>
              <w:spacing w:line="259" w:lineRule="auto"/>
              <w:ind w:left="1"/>
            </w:pPr>
            <w:hyperlink r:id="rId17" w:history="1">
              <w:r w:rsidR="008D1795" w:rsidRPr="00987AAF">
                <w:rPr>
                  <w:rStyle w:val="Hyperlink"/>
                </w:rPr>
                <w:t>csat.gpsa@intec.edu.do</w:t>
              </w:r>
            </w:hyperlink>
          </w:p>
        </w:tc>
        <w:tc>
          <w:tcPr>
            <w:tcW w:w="1555" w:type="dxa"/>
            <w:tcBorders>
              <w:top w:val="single" w:sz="4" w:space="0" w:color="000000"/>
              <w:left w:val="single" w:sz="4" w:space="0" w:color="000000"/>
              <w:bottom w:val="single" w:sz="4" w:space="0" w:color="000000"/>
              <w:right w:val="single" w:sz="4" w:space="0" w:color="000000"/>
            </w:tcBorders>
          </w:tcPr>
          <w:p w14:paraId="2B4FCABC" w14:textId="27A30341" w:rsidR="00657CFE" w:rsidRPr="00E16A96" w:rsidRDefault="00657CFE" w:rsidP="00657CFE">
            <w:pPr>
              <w:spacing w:line="259" w:lineRule="auto"/>
              <w:ind w:left="1"/>
              <w:rPr>
                <w:lang w:val="es-419"/>
              </w:rPr>
            </w:pPr>
            <w:r w:rsidRPr="00E16A96">
              <w:rPr>
                <w:lang w:val="es-419"/>
              </w:rPr>
              <w:t>Avenida de Los Próceres #49, Los Jardines del Norte 10602, Santo Domingo</w:t>
            </w:r>
            <w:r w:rsidRPr="00E16A96">
              <w:rPr>
                <w:rFonts w:ascii="Helvetica Neue" w:hAnsi="Helvetica Neue"/>
                <w:color w:val="464E56"/>
                <w:sz w:val="21"/>
                <w:szCs w:val="21"/>
                <w:shd w:val="clear" w:color="auto" w:fill="FFFFFF"/>
                <w:lang w:val="es-419"/>
              </w:rPr>
              <w:t>,</w:t>
            </w:r>
            <w:r w:rsidRPr="00D722E0">
              <w:rPr>
                <w:lang w:val="ro-RO" w:eastAsia="zh-CN"/>
              </w:rPr>
              <w:t xml:space="preserve"> Dominican Republic</w:t>
            </w:r>
          </w:p>
        </w:tc>
      </w:tr>
      <w:tr w:rsidR="00657CFE" w14:paraId="156F47BC" w14:textId="77777777" w:rsidTr="00456455">
        <w:trPr>
          <w:trHeight w:val="532"/>
        </w:trPr>
        <w:tc>
          <w:tcPr>
            <w:tcW w:w="1316" w:type="dxa"/>
            <w:tcBorders>
              <w:top w:val="single" w:sz="4" w:space="0" w:color="000000"/>
              <w:left w:val="single" w:sz="4" w:space="0" w:color="000000"/>
              <w:bottom w:val="single" w:sz="4" w:space="0" w:color="000000"/>
              <w:right w:val="single" w:sz="4" w:space="0" w:color="000000"/>
            </w:tcBorders>
          </w:tcPr>
          <w:p w14:paraId="2C5D7E27" w14:textId="7F8A457C" w:rsidR="00657CFE" w:rsidRDefault="00657CFE" w:rsidP="00657CFE">
            <w:pPr>
              <w:spacing w:line="259" w:lineRule="auto"/>
            </w:pPr>
            <w:r>
              <w:t>Nicola Bird</w:t>
            </w:r>
          </w:p>
        </w:tc>
        <w:tc>
          <w:tcPr>
            <w:tcW w:w="1748" w:type="dxa"/>
            <w:tcBorders>
              <w:top w:val="single" w:sz="4" w:space="0" w:color="000000"/>
              <w:left w:val="single" w:sz="4" w:space="0" w:color="000000"/>
              <w:bottom w:val="single" w:sz="4" w:space="0" w:color="000000"/>
              <w:right w:val="single" w:sz="4" w:space="0" w:color="000000"/>
            </w:tcBorders>
          </w:tcPr>
          <w:p w14:paraId="19BD5F49" w14:textId="590C388C" w:rsidR="00657CFE" w:rsidRDefault="00657CFE" w:rsidP="00657CFE">
            <w:pPr>
              <w:spacing w:line="259" w:lineRule="auto"/>
              <w:ind w:left="1"/>
            </w:pPr>
            <w:r>
              <w:t>IHO Project Manager</w:t>
            </w:r>
          </w:p>
        </w:tc>
        <w:tc>
          <w:tcPr>
            <w:tcW w:w="1573" w:type="dxa"/>
            <w:tcBorders>
              <w:top w:val="single" w:sz="4" w:space="0" w:color="000000"/>
              <w:left w:val="single" w:sz="4" w:space="0" w:color="000000"/>
              <w:bottom w:val="single" w:sz="4" w:space="0" w:color="000000"/>
              <w:right w:val="single" w:sz="4" w:space="0" w:color="000000"/>
            </w:tcBorders>
          </w:tcPr>
          <w:p w14:paraId="51A8A7EA" w14:textId="1E539F37" w:rsidR="00970B98" w:rsidRPr="00D722E0" w:rsidRDefault="00970B98" w:rsidP="00970B98">
            <w:pPr>
              <w:rPr>
                <w:lang w:val="ro-RO"/>
              </w:rPr>
            </w:pPr>
            <w:r>
              <w:rPr>
                <w:lang w:val="ro-RO"/>
              </w:rPr>
              <w:t>+1-</w:t>
            </w:r>
            <w:r w:rsidRPr="00D722E0">
              <w:rPr>
                <w:lang w:val="ro-RO"/>
              </w:rPr>
              <w:t>809-</w:t>
            </w:r>
            <w:r w:rsidRPr="00394121">
              <w:rPr>
                <w:lang w:val="es-CO"/>
              </w:rPr>
              <w:t>567-9271 x</w:t>
            </w:r>
            <w:r>
              <w:rPr>
                <w:lang w:val="es-CO"/>
              </w:rPr>
              <w:t>445</w:t>
            </w:r>
          </w:p>
          <w:p w14:paraId="10FD2114" w14:textId="4D6C5FEB" w:rsidR="00657CFE" w:rsidRDefault="00657CFE" w:rsidP="00657CFE">
            <w:pPr>
              <w:spacing w:line="259" w:lineRule="auto"/>
              <w:ind w:left="1"/>
            </w:pPr>
          </w:p>
        </w:tc>
        <w:tc>
          <w:tcPr>
            <w:tcW w:w="2792" w:type="dxa"/>
            <w:tcBorders>
              <w:top w:val="single" w:sz="4" w:space="0" w:color="000000"/>
              <w:left w:val="single" w:sz="4" w:space="0" w:color="000000"/>
              <w:bottom w:val="single" w:sz="4" w:space="0" w:color="000000"/>
              <w:right w:val="single" w:sz="4" w:space="0" w:color="000000"/>
            </w:tcBorders>
          </w:tcPr>
          <w:p w14:paraId="1DE8C0BB" w14:textId="49C0168C" w:rsidR="00657CFE" w:rsidRDefault="00CA5582" w:rsidP="00657CFE">
            <w:pPr>
              <w:spacing w:line="259" w:lineRule="auto"/>
              <w:ind w:left="1"/>
            </w:pPr>
            <w:hyperlink r:id="rId18" w:history="1">
              <w:r w:rsidR="008D1795" w:rsidRPr="00987AAF">
                <w:rPr>
                  <w:rStyle w:val="Hyperlink"/>
                </w:rPr>
                <w:t>csat.gpsa@intec.edu.do</w:t>
              </w:r>
            </w:hyperlink>
          </w:p>
        </w:tc>
        <w:tc>
          <w:tcPr>
            <w:tcW w:w="1555" w:type="dxa"/>
            <w:tcBorders>
              <w:top w:val="single" w:sz="4" w:space="0" w:color="000000"/>
              <w:left w:val="single" w:sz="4" w:space="0" w:color="000000"/>
              <w:bottom w:val="single" w:sz="4" w:space="0" w:color="000000"/>
              <w:right w:val="single" w:sz="4" w:space="0" w:color="000000"/>
            </w:tcBorders>
          </w:tcPr>
          <w:p w14:paraId="05367691" w14:textId="311D5CEB" w:rsidR="00657CFE" w:rsidRPr="00EF344D" w:rsidRDefault="00657CFE" w:rsidP="00657CFE">
            <w:pPr>
              <w:spacing w:line="259" w:lineRule="auto"/>
              <w:ind w:left="1"/>
              <w:rPr>
                <w:bCs/>
              </w:rPr>
            </w:pPr>
            <w:proofErr w:type="spellStart"/>
            <w:r>
              <w:rPr>
                <w:bCs/>
              </w:rPr>
              <w:t>Cnr</w:t>
            </w:r>
            <w:proofErr w:type="spellEnd"/>
            <w:r>
              <w:rPr>
                <w:bCs/>
              </w:rPr>
              <w:t xml:space="preserve">. Cross &amp; Redcliffe St, St. John’s, </w:t>
            </w:r>
            <w:proofErr w:type="gramStart"/>
            <w:r w:rsidRPr="00EF344D">
              <w:rPr>
                <w:bCs/>
              </w:rPr>
              <w:t>Antigua</w:t>
            </w:r>
            <w:proofErr w:type="gramEnd"/>
            <w:r w:rsidRPr="00EF344D">
              <w:rPr>
                <w:bCs/>
              </w:rPr>
              <w:t xml:space="preserve"> and Barbuda</w:t>
            </w:r>
          </w:p>
        </w:tc>
      </w:tr>
    </w:tbl>
    <w:p w14:paraId="56AB25C0" w14:textId="77777777" w:rsidR="004F7633" w:rsidRDefault="004F7633" w:rsidP="004F7633">
      <w:pPr>
        <w:spacing w:after="219"/>
        <w:ind w:left="-3" w:hanging="10"/>
        <w:rPr>
          <w:b/>
        </w:rPr>
      </w:pPr>
    </w:p>
    <w:p w14:paraId="7ED4087E" w14:textId="77777777" w:rsidR="004F7633" w:rsidRDefault="004F7633" w:rsidP="001F2D19">
      <w:pPr>
        <w:pStyle w:val="Heading1"/>
      </w:pPr>
      <w:bookmarkStart w:id="55" w:name="_Toc49946118"/>
      <w:bookmarkStart w:id="56" w:name="_Toc77191115"/>
      <w:r>
        <w:rPr>
          <w:u w:color="000000"/>
        </w:rPr>
        <w:t xml:space="preserve">Addressing </w:t>
      </w:r>
      <w:r w:rsidRPr="00DD3AD3">
        <w:t>gender</w:t>
      </w:r>
      <w:r>
        <w:rPr>
          <w:u w:color="000000"/>
        </w:rPr>
        <w:t>-based violence</w:t>
      </w:r>
      <w:bookmarkEnd w:id="55"/>
      <w:bookmarkEnd w:id="56"/>
      <w:r>
        <w:t xml:space="preserve"> </w:t>
      </w:r>
    </w:p>
    <w:p w14:paraId="2756D07F" w14:textId="77777777" w:rsidR="004F7633" w:rsidRDefault="004F7633" w:rsidP="004F7633">
      <w:pPr>
        <w:ind w:left="-4"/>
      </w:pPr>
      <w:r>
        <w:t xml:space="preserve">The Grievance Redressal Mechanism (GRM) will specify and train an individual who will be responsible for dealing with any gender-based violence (GBV) issues, should they arise. A list of GBV service providers in each country, which will be defined prior to the contracting of workers, will be kept available by the GBV trained individual, the Project Managers, Project Coordinators, and Social Specialists.  The GRM should assist GBV survivors by referring them to GBV Services Provider(s) for support immediately after receiving a complaint directly from a survivor.  </w:t>
      </w:r>
    </w:p>
    <w:p w14:paraId="48896264" w14:textId="77777777" w:rsidR="004F7633" w:rsidRDefault="004F7633" w:rsidP="004F7633">
      <w:pPr>
        <w:spacing w:after="320"/>
        <w:ind w:left="-4"/>
      </w:pPr>
      <w:r>
        <w:t xml:space="preserve">If a GBV-related incident occurs, it will be reported through the GRM, as appropriate and keeping the survivor information confidential. Specifically, the GRM will only record the following information related to the GBV complaint:  </w:t>
      </w:r>
    </w:p>
    <w:p w14:paraId="59907064" w14:textId="77777777" w:rsidR="004F7633" w:rsidRDefault="004F7633" w:rsidP="00DC0F12">
      <w:pPr>
        <w:numPr>
          <w:ilvl w:val="0"/>
          <w:numId w:val="5"/>
        </w:numPr>
        <w:spacing w:after="46" w:line="271" w:lineRule="auto"/>
        <w:ind w:hanging="360"/>
        <w:jc w:val="both"/>
      </w:pPr>
      <w:r>
        <w:t>The nature of the complaint (what the complainant says in her/his own words without direct questioning</w:t>
      </w:r>
      <w:proofErr w:type="gramStart"/>
      <w:r>
        <w:t>);</w:t>
      </w:r>
      <w:proofErr w:type="gramEnd"/>
      <w:r>
        <w:t xml:space="preserve">  </w:t>
      </w:r>
    </w:p>
    <w:p w14:paraId="153492E8" w14:textId="77777777" w:rsidR="004F7633" w:rsidRDefault="004F7633" w:rsidP="00DC0F12">
      <w:pPr>
        <w:numPr>
          <w:ilvl w:val="0"/>
          <w:numId w:val="5"/>
        </w:numPr>
        <w:spacing w:after="29" w:line="271" w:lineRule="auto"/>
        <w:ind w:hanging="360"/>
        <w:jc w:val="both"/>
      </w:pPr>
      <w:r>
        <w:t xml:space="preserve">If, to the best of their knowledge, the perpetrator was associated with the project; and, </w:t>
      </w:r>
    </w:p>
    <w:p w14:paraId="1CF49B4F" w14:textId="77777777" w:rsidR="004F7633" w:rsidRDefault="004F7633" w:rsidP="00DC0F12">
      <w:pPr>
        <w:numPr>
          <w:ilvl w:val="0"/>
          <w:numId w:val="5"/>
        </w:numPr>
        <w:spacing w:after="206" w:line="271" w:lineRule="auto"/>
        <w:ind w:hanging="360"/>
        <w:jc w:val="both"/>
      </w:pPr>
      <w:r>
        <w:t xml:space="preserve">If possible, the age and sex of the survivor. </w:t>
      </w:r>
    </w:p>
    <w:p w14:paraId="6EF6F50C" w14:textId="77777777" w:rsidR="004F7633" w:rsidRDefault="004F7633" w:rsidP="004F7633">
      <w:pPr>
        <w:spacing w:after="320"/>
        <w:ind w:left="-4"/>
      </w:pPr>
      <w:r>
        <w:t xml:space="preserve"> Any cases of GBV brought through the GRM will be documented but remain closed/sealed to maintain the confidentiality of the survivor. Here, the GRM will primarily serve to: </w:t>
      </w:r>
    </w:p>
    <w:p w14:paraId="1323B4EA" w14:textId="77777777" w:rsidR="004F7633" w:rsidRDefault="004F7633" w:rsidP="00DC0F12">
      <w:pPr>
        <w:numPr>
          <w:ilvl w:val="0"/>
          <w:numId w:val="5"/>
        </w:numPr>
        <w:spacing w:after="30" w:line="271" w:lineRule="auto"/>
        <w:ind w:hanging="360"/>
        <w:jc w:val="both"/>
      </w:pPr>
      <w:r>
        <w:t xml:space="preserve">Refer complainants to the GBV Services Provider; and </w:t>
      </w:r>
      <w:r>
        <w:rPr>
          <w:b/>
        </w:rPr>
        <w:t xml:space="preserve"> </w:t>
      </w:r>
    </w:p>
    <w:p w14:paraId="5BE029AE" w14:textId="793E89A6" w:rsidR="004F7633" w:rsidRDefault="004F7633" w:rsidP="00DC0F12">
      <w:pPr>
        <w:numPr>
          <w:ilvl w:val="0"/>
          <w:numId w:val="5"/>
        </w:numPr>
        <w:spacing w:after="206" w:line="271" w:lineRule="auto"/>
        <w:ind w:hanging="360"/>
        <w:jc w:val="both"/>
      </w:pPr>
      <w:r>
        <w:t>Record the resolution of the complaint</w:t>
      </w:r>
      <w:r w:rsidR="00F46CB4">
        <w:t>.</w:t>
      </w:r>
      <w:r>
        <w:rPr>
          <w:b/>
        </w:rPr>
        <w:t xml:space="preserve"> </w:t>
      </w:r>
    </w:p>
    <w:p w14:paraId="41ABECA6" w14:textId="77777777" w:rsidR="004F7633" w:rsidRDefault="004F7633" w:rsidP="004F7633">
      <w:pPr>
        <w:spacing w:after="625"/>
        <w:ind w:left="-4"/>
      </w:pPr>
      <w:r>
        <w:t xml:space="preserve">The GRM will also immediately notify both the Implementing Agency and the World Bank of any GBV complaints </w:t>
      </w:r>
      <w:r>
        <w:rPr>
          <w:b/>
        </w:rPr>
        <w:t>WITH THE CONSENT OF THE SURVIVOR</w:t>
      </w:r>
      <w:r>
        <w:t xml:space="preserve">.  </w:t>
      </w:r>
    </w:p>
    <w:p w14:paraId="0F5C510D" w14:textId="3A27977D" w:rsidR="00246205" w:rsidRPr="00246205" w:rsidRDefault="00246205" w:rsidP="001F2D19">
      <w:pPr>
        <w:pStyle w:val="Heading1"/>
        <w:rPr>
          <w:rStyle w:val="Heading1Char"/>
          <w:b/>
          <w:bCs/>
        </w:rPr>
      </w:pPr>
      <w:bookmarkStart w:id="57" w:name="_Toc77191116"/>
      <w:r>
        <w:rPr>
          <w:rStyle w:val="Heading1Char"/>
          <w:b/>
          <w:bCs/>
        </w:rPr>
        <w:t>Disclosure</w:t>
      </w:r>
      <w:bookmarkEnd w:id="57"/>
    </w:p>
    <w:p w14:paraId="639E1020" w14:textId="631F5C38" w:rsidR="00246205" w:rsidRDefault="00246205" w:rsidP="00246205">
      <w:r>
        <w:t>INTEC/IHO will inform</w:t>
      </w:r>
      <w:r w:rsidRPr="23FF9174">
        <w:t xml:space="preserve"> </w:t>
      </w:r>
      <w:r>
        <w:t xml:space="preserve">all direct and contracted workers of the existence of relevant policies, grievance mechanisms and measures put in place to protect them against any reprisal for its use, either at the time of recruitment or at the start of the project, whichever is later. </w:t>
      </w:r>
    </w:p>
    <w:p w14:paraId="41DD8280" w14:textId="39DCD15D" w:rsidR="00246205" w:rsidRDefault="00246205" w:rsidP="00246205">
      <w:pPr>
        <w:rPr>
          <w:rStyle w:val="Hyperlink"/>
        </w:rPr>
      </w:pPr>
      <w:r>
        <w:t xml:space="preserve">INTEC/IHO will also provide all direct and contracted workers with Conservation International's (CI's) Code of Conduct, and be informed that any violations of the Code of Conduct should be reported to CI via its Ethics Hotline at </w:t>
      </w:r>
      <w:hyperlink r:id="rId19">
        <w:r w:rsidRPr="23FF9174">
          <w:rPr>
            <w:rStyle w:val="Hyperlink"/>
          </w:rPr>
          <w:t>www.ci.ethicspoint.com</w:t>
        </w:r>
      </w:hyperlink>
    </w:p>
    <w:p w14:paraId="546C7A6B" w14:textId="4CE4B79C" w:rsidR="00D84B6B" w:rsidRDefault="00D84B6B"/>
    <w:sectPr w:rsidR="00D84B6B" w:rsidSect="00662F4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31C41" w14:textId="77777777" w:rsidR="00CA5582" w:rsidRDefault="00CA5582" w:rsidP="00662F4A">
      <w:pPr>
        <w:spacing w:after="0" w:line="240" w:lineRule="auto"/>
      </w:pPr>
      <w:r>
        <w:separator/>
      </w:r>
    </w:p>
  </w:endnote>
  <w:endnote w:type="continuationSeparator" w:id="0">
    <w:p w14:paraId="4FF41F8F" w14:textId="77777777" w:rsidR="00CA5582" w:rsidRDefault="00CA5582" w:rsidP="0066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auto"/>
    <w:pitch w:val="variable"/>
    <w:sig w:usb0="E00002FF" w:usb1="7AC7FFFF" w:usb2="00000012" w:usb3="00000000" w:csb0="0002000D" w:csb1="00000000"/>
  </w:font>
  <w:font w:name="Roboto">
    <w:charset w:val="00"/>
    <w:family w:val="auto"/>
    <w:pitch w:val="variable"/>
    <w:sig w:usb0="E00002FF" w:usb1="5000205B" w:usb2="00000020" w:usb3="00000000" w:csb0="0000019F" w:csb1="00000000"/>
  </w:font>
  <w:font w:name="Helvetica Neue">
    <w:altName w:val="Corbe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79B14" w14:textId="77777777" w:rsidR="000817F7" w:rsidRDefault="00081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E75C" w14:textId="6FCC0E84" w:rsidR="0017724C" w:rsidRDefault="0017724C">
    <w:pPr>
      <w:pStyle w:val="Footer"/>
      <w:jc w:val="right"/>
    </w:pPr>
  </w:p>
  <w:sdt>
    <w:sdtPr>
      <w:rPr>
        <w:rFonts w:cstheme="minorHAnsi"/>
      </w:rPr>
      <w:id w:val="-948849788"/>
      <w:docPartObj>
        <w:docPartGallery w:val="Page Numbers (Bottom of Page)"/>
        <w:docPartUnique/>
      </w:docPartObj>
    </w:sdtPr>
    <w:sdtEndPr>
      <w:rPr>
        <w:color w:val="7F7F7F" w:themeColor="background1" w:themeShade="7F"/>
        <w:spacing w:val="60"/>
      </w:rPr>
    </w:sdtEndPr>
    <w:sdtContent>
      <w:p w14:paraId="3C8E28D5" w14:textId="4CC0E091" w:rsidR="007D751D" w:rsidRPr="007D751D" w:rsidRDefault="007D751D" w:rsidP="007D751D">
        <w:pPr>
          <w:pStyle w:val="Footer"/>
          <w:pBdr>
            <w:top w:val="single" w:sz="4" w:space="1" w:color="D9D9D9" w:themeColor="background1" w:themeShade="D9"/>
          </w:pBdr>
          <w:jc w:val="right"/>
          <w:rPr>
            <w:rFonts w:cstheme="minorHAnsi"/>
          </w:rPr>
        </w:pPr>
        <w:r w:rsidRPr="007D751D">
          <w:rPr>
            <w:rFonts w:cstheme="minorHAnsi"/>
          </w:rPr>
          <w:t xml:space="preserve">   </w:t>
        </w:r>
        <w:r w:rsidRPr="007D751D">
          <w:rPr>
            <w:rFonts w:eastAsiaTheme="majorEastAsia" w:cstheme="minorHAnsi"/>
            <w:spacing w:val="-10"/>
            <w:kern w:val="28"/>
          </w:rPr>
          <w:t xml:space="preserve">Labor Management Procedures: </w:t>
        </w:r>
        <w:bookmarkStart w:id="58" w:name="_Hlk40262760"/>
        <w:r w:rsidRPr="007D751D">
          <w:rPr>
            <w:rFonts w:eastAsiaTheme="majorEastAsia" w:cstheme="minorHAnsi"/>
            <w:spacing w:val="-10"/>
            <w:kern w:val="28"/>
          </w:rPr>
          <w:t>CEPF— Collaborative Social Accountability Project (P</w:t>
        </w:r>
        <w:r w:rsidRPr="007D751D">
          <w:rPr>
            <w:rFonts w:cstheme="minorHAnsi"/>
            <w:color w:val="202124"/>
            <w:shd w:val="clear" w:color="auto" w:fill="FFFFFF"/>
          </w:rPr>
          <w:t>111512</w:t>
        </w:r>
        <w:r w:rsidRPr="007D751D">
          <w:rPr>
            <w:rFonts w:eastAsiaTheme="majorEastAsia" w:cstheme="minorHAnsi"/>
            <w:spacing w:val="-10"/>
            <w:kern w:val="28"/>
          </w:rPr>
          <w:t>)</w:t>
        </w:r>
        <w:bookmarkEnd w:id="58"/>
        <w:r w:rsidRPr="007D751D">
          <w:rPr>
            <w:rFonts w:eastAsiaTheme="majorEastAsia" w:cstheme="minorHAnsi"/>
            <w:spacing w:val="-10"/>
            <w:kern w:val="28"/>
          </w:rPr>
          <w:t xml:space="preserve">                          </w:t>
        </w:r>
        <w:r w:rsidRPr="007D751D">
          <w:rPr>
            <w:rFonts w:cstheme="minorHAnsi"/>
          </w:rPr>
          <w:fldChar w:fldCharType="begin"/>
        </w:r>
        <w:r w:rsidRPr="007D751D">
          <w:rPr>
            <w:rFonts w:cstheme="minorHAnsi"/>
          </w:rPr>
          <w:instrText xml:space="preserve"> PAGE   \* MERGEFORMAT </w:instrText>
        </w:r>
        <w:r w:rsidRPr="007D751D">
          <w:rPr>
            <w:rFonts w:cstheme="minorHAnsi"/>
          </w:rPr>
          <w:fldChar w:fldCharType="separate"/>
        </w:r>
        <w:r w:rsidRPr="007D751D">
          <w:rPr>
            <w:rFonts w:cstheme="minorHAnsi"/>
          </w:rPr>
          <w:t>17</w:t>
        </w:r>
        <w:r w:rsidRPr="007D751D">
          <w:rPr>
            <w:rFonts w:cstheme="minorHAnsi"/>
            <w:noProof/>
          </w:rPr>
          <w:fldChar w:fldCharType="end"/>
        </w:r>
        <w:r w:rsidRPr="007D751D">
          <w:rPr>
            <w:rFonts w:cstheme="minorHAnsi"/>
          </w:rPr>
          <w:t xml:space="preserve"> </w:t>
        </w:r>
      </w:p>
    </w:sdtContent>
  </w:sdt>
  <w:p w14:paraId="1B8A2172" w14:textId="77777777" w:rsidR="0017724C" w:rsidRDefault="00177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BC0AF" w14:textId="77777777" w:rsidR="000817F7" w:rsidRDefault="00081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99CF" w14:textId="77777777" w:rsidR="00CA5582" w:rsidRDefault="00CA5582" w:rsidP="00662F4A">
      <w:pPr>
        <w:spacing w:after="0" w:line="240" w:lineRule="auto"/>
      </w:pPr>
      <w:r>
        <w:separator/>
      </w:r>
    </w:p>
  </w:footnote>
  <w:footnote w:type="continuationSeparator" w:id="0">
    <w:p w14:paraId="2BF8FC08" w14:textId="77777777" w:rsidR="00CA5582" w:rsidRDefault="00CA5582" w:rsidP="00662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64518" w14:textId="77777777" w:rsidR="000817F7" w:rsidRDefault="000817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BAC3" w14:textId="77777777" w:rsidR="000817F7" w:rsidRDefault="000817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0F8E" w14:textId="77777777" w:rsidR="000817F7" w:rsidRDefault="00081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553"/>
    <w:multiLevelType w:val="hybridMultilevel"/>
    <w:tmpl w:val="EB9674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92465D8"/>
    <w:multiLevelType w:val="multilevel"/>
    <w:tmpl w:val="D7464D3A"/>
    <w:lvl w:ilvl="0">
      <w:start w:val="1"/>
      <w:numFmt w:val="decimal"/>
      <w:pStyle w:val="Heading1"/>
      <w:lvlText w:val="%1."/>
      <w:lvlJc w:val="left"/>
      <w:pPr>
        <w:ind w:left="3337" w:hanging="360"/>
      </w:pPr>
      <w:rPr>
        <w:rFonts w:hint="default"/>
        <w:b/>
        <w:bCs/>
      </w:rPr>
    </w:lvl>
    <w:lvl w:ilvl="1">
      <w:start w:val="2"/>
      <w:numFmt w:val="decimal"/>
      <w:isLgl/>
      <w:lvlText w:val="%1.%2."/>
      <w:lvlJc w:val="left"/>
      <w:pPr>
        <w:ind w:left="750" w:hanging="390"/>
      </w:pPr>
      <w:rPr>
        <w:rFonts w:hint="default"/>
        <w:b/>
        <w:i w:val="0"/>
        <w:iCs w:val="0"/>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440" w:hanging="1080"/>
      </w:pPr>
      <w:rPr>
        <w:rFonts w:hint="default"/>
        <w:b/>
        <w:i/>
      </w:rPr>
    </w:lvl>
    <w:lvl w:ilvl="6">
      <w:start w:val="1"/>
      <w:numFmt w:val="decimal"/>
      <w:isLgl/>
      <w:lvlText w:val="%1.%2.%3.%4.%5.%6.%7."/>
      <w:lvlJc w:val="left"/>
      <w:pPr>
        <w:ind w:left="1800" w:hanging="1440"/>
      </w:pPr>
      <w:rPr>
        <w:rFonts w:hint="default"/>
        <w:b/>
        <w:i/>
      </w:rPr>
    </w:lvl>
    <w:lvl w:ilvl="7">
      <w:start w:val="1"/>
      <w:numFmt w:val="decimal"/>
      <w:isLgl/>
      <w:lvlText w:val="%1.%2.%3.%4.%5.%6.%7.%8."/>
      <w:lvlJc w:val="left"/>
      <w:pPr>
        <w:ind w:left="1800" w:hanging="1440"/>
      </w:pPr>
      <w:rPr>
        <w:rFonts w:hint="default"/>
        <w:b/>
        <w:i/>
      </w:rPr>
    </w:lvl>
    <w:lvl w:ilvl="8">
      <w:start w:val="1"/>
      <w:numFmt w:val="decimal"/>
      <w:isLgl/>
      <w:lvlText w:val="%1.%2.%3.%4.%5.%6.%7.%8.%9."/>
      <w:lvlJc w:val="left"/>
      <w:pPr>
        <w:ind w:left="2160" w:hanging="1800"/>
      </w:pPr>
      <w:rPr>
        <w:rFonts w:hint="default"/>
        <w:b/>
        <w:i/>
      </w:rPr>
    </w:lvl>
  </w:abstractNum>
  <w:abstractNum w:abstractNumId="2" w15:restartNumberingAfterBreak="0">
    <w:nsid w:val="0A1D2F14"/>
    <w:multiLevelType w:val="multilevel"/>
    <w:tmpl w:val="83B89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C2ADE"/>
    <w:multiLevelType w:val="hybridMultilevel"/>
    <w:tmpl w:val="D090BABC"/>
    <w:lvl w:ilvl="0" w:tplc="6B7AC7E2">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3680B32"/>
    <w:multiLevelType w:val="multilevel"/>
    <w:tmpl w:val="73062A90"/>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ACD265F"/>
    <w:multiLevelType w:val="hybridMultilevel"/>
    <w:tmpl w:val="A41AFB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FCC5583"/>
    <w:multiLevelType w:val="multilevel"/>
    <w:tmpl w:val="AD94B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5981845"/>
    <w:multiLevelType w:val="multilevel"/>
    <w:tmpl w:val="A79CB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53816"/>
    <w:multiLevelType w:val="multilevel"/>
    <w:tmpl w:val="E8EE9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5C5756"/>
    <w:multiLevelType w:val="hybridMultilevel"/>
    <w:tmpl w:val="7A3E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75D7F"/>
    <w:multiLevelType w:val="multilevel"/>
    <w:tmpl w:val="27D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6128F5"/>
    <w:multiLevelType w:val="multilevel"/>
    <w:tmpl w:val="04D0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90F18A0"/>
    <w:multiLevelType w:val="hybridMultilevel"/>
    <w:tmpl w:val="CE66CCD2"/>
    <w:lvl w:ilvl="0" w:tplc="446080A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F6F1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88EA8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E0D78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D47A8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22328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1041E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3EB3D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F6C40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68685E"/>
    <w:multiLevelType w:val="hybridMultilevel"/>
    <w:tmpl w:val="6CC68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F913B2E"/>
    <w:multiLevelType w:val="hybridMultilevel"/>
    <w:tmpl w:val="4C5AA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5"/>
  </w:num>
  <w:num w:numId="4">
    <w:abstractNumId w:val="13"/>
  </w:num>
  <w:num w:numId="5">
    <w:abstractNumId w:val="12"/>
  </w:num>
  <w:num w:numId="6">
    <w:abstractNumId w:val="9"/>
  </w:num>
  <w:num w:numId="7">
    <w:abstractNumId w:val="3"/>
  </w:num>
  <w:num w:numId="8">
    <w:abstractNumId w:val="4"/>
  </w:num>
  <w:num w:numId="9">
    <w:abstractNumId w:val="0"/>
  </w:num>
  <w:num w:numId="10">
    <w:abstractNumId w:val="2"/>
  </w:num>
  <w:num w:numId="11">
    <w:abstractNumId w:val="8"/>
  </w:num>
  <w:num w:numId="12">
    <w:abstractNumId w:val="10"/>
  </w:num>
  <w:num w:numId="13">
    <w:abstractNumId w:val="6"/>
  </w:num>
  <w:num w:numId="14">
    <w:abstractNumId w:val="7"/>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4A"/>
    <w:rsid w:val="00020629"/>
    <w:rsid w:val="00036628"/>
    <w:rsid w:val="000614B5"/>
    <w:rsid w:val="000667EF"/>
    <w:rsid w:val="00077806"/>
    <w:rsid w:val="000817F7"/>
    <w:rsid w:val="00085C28"/>
    <w:rsid w:val="00086056"/>
    <w:rsid w:val="00090908"/>
    <w:rsid w:val="000A1ADB"/>
    <w:rsid w:val="000A703A"/>
    <w:rsid w:val="000B1F98"/>
    <w:rsid w:val="000B41DE"/>
    <w:rsid w:val="000E2C76"/>
    <w:rsid w:val="00101AA1"/>
    <w:rsid w:val="0017724C"/>
    <w:rsid w:val="00177D31"/>
    <w:rsid w:val="001A4BAD"/>
    <w:rsid w:val="001D07D8"/>
    <w:rsid w:val="001D3E6E"/>
    <w:rsid w:val="001E2DC6"/>
    <w:rsid w:val="001E2E97"/>
    <w:rsid w:val="001F203A"/>
    <w:rsid w:val="001F21C6"/>
    <w:rsid w:val="001F2D19"/>
    <w:rsid w:val="001F3A94"/>
    <w:rsid w:val="00222F14"/>
    <w:rsid w:val="00234217"/>
    <w:rsid w:val="00246205"/>
    <w:rsid w:val="00251628"/>
    <w:rsid w:val="00282178"/>
    <w:rsid w:val="002A48B6"/>
    <w:rsid w:val="002F25B8"/>
    <w:rsid w:val="00301E20"/>
    <w:rsid w:val="0030245E"/>
    <w:rsid w:val="0030621A"/>
    <w:rsid w:val="00306733"/>
    <w:rsid w:val="00311474"/>
    <w:rsid w:val="00317B49"/>
    <w:rsid w:val="003205D5"/>
    <w:rsid w:val="00320861"/>
    <w:rsid w:val="00345163"/>
    <w:rsid w:val="0035275A"/>
    <w:rsid w:val="00366283"/>
    <w:rsid w:val="00367E50"/>
    <w:rsid w:val="0037434B"/>
    <w:rsid w:val="003818A1"/>
    <w:rsid w:val="00396DE0"/>
    <w:rsid w:val="003B5E7A"/>
    <w:rsid w:val="003D3023"/>
    <w:rsid w:val="003E513B"/>
    <w:rsid w:val="003F14EE"/>
    <w:rsid w:val="00410BB0"/>
    <w:rsid w:val="004244B2"/>
    <w:rsid w:val="00437CEC"/>
    <w:rsid w:val="00444EFF"/>
    <w:rsid w:val="00473857"/>
    <w:rsid w:val="0048101C"/>
    <w:rsid w:val="00496D74"/>
    <w:rsid w:val="004A54EF"/>
    <w:rsid w:val="004B37D6"/>
    <w:rsid w:val="004B70DE"/>
    <w:rsid w:val="004C2298"/>
    <w:rsid w:val="004D7E39"/>
    <w:rsid w:val="004E1CAF"/>
    <w:rsid w:val="004F6660"/>
    <w:rsid w:val="004F7633"/>
    <w:rsid w:val="00501662"/>
    <w:rsid w:val="005277B6"/>
    <w:rsid w:val="00534AD6"/>
    <w:rsid w:val="005530FF"/>
    <w:rsid w:val="00555A81"/>
    <w:rsid w:val="005A7EC5"/>
    <w:rsid w:val="005F0192"/>
    <w:rsid w:val="005F1321"/>
    <w:rsid w:val="00615698"/>
    <w:rsid w:val="00621FAC"/>
    <w:rsid w:val="00657CF8"/>
    <w:rsid w:val="00657CFE"/>
    <w:rsid w:val="00661C84"/>
    <w:rsid w:val="00662F4A"/>
    <w:rsid w:val="00681E7E"/>
    <w:rsid w:val="00687A07"/>
    <w:rsid w:val="0069542E"/>
    <w:rsid w:val="006A3831"/>
    <w:rsid w:val="006A3932"/>
    <w:rsid w:val="006B0AA3"/>
    <w:rsid w:val="006C1A07"/>
    <w:rsid w:val="006E1D25"/>
    <w:rsid w:val="006E31D9"/>
    <w:rsid w:val="00705E8B"/>
    <w:rsid w:val="00710CFC"/>
    <w:rsid w:val="007239D2"/>
    <w:rsid w:val="00752DC0"/>
    <w:rsid w:val="007538F6"/>
    <w:rsid w:val="00762808"/>
    <w:rsid w:val="00784CB0"/>
    <w:rsid w:val="007937BA"/>
    <w:rsid w:val="007D717F"/>
    <w:rsid w:val="007D751D"/>
    <w:rsid w:val="007F072C"/>
    <w:rsid w:val="00810B32"/>
    <w:rsid w:val="008366AB"/>
    <w:rsid w:val="008470D1"/>
    <w:rsid w:val="00850E3B"/>
    <w:rsid w:val="00881B48"/>
    <w:rsid w:val="00894B5A"/>
    <w:rsid w:val="008B38CD"/>
    <w:rsid w:val="008D1795"/>
    <w:rsid w:val="008D7A75"/>
    <w:rsid w:val="008F7314"/>
    <w:rsid w:val="009002ED"/>
    <w:rsid w:val="00903DFD"/>
    <w:rsid w:val="00925999"/>
    <w:rsid w:val="00964129"/>
    <w:rsid w:val="00970B98"/>
    <w:rsid w:val="009A0D80"/>
    <w:rsid w:val="009A65BE"/>
    <w:rsid w:val="009B5D70"/>
    <w:rsid w:val="009C55A3"/>
    <w:rsid w:val="009D4872"/>
    <w:rsid w:val="00A017C1"/>
    <w:rsid w:val="00A106A2"/>
    <w:rsid w:val="00A25319"/>
    <w:rsid w:val="00A439B2"/>
    <w:rsid w:val="00A44DC2"/>
    <w:rsid w:val="00A603CB"/>
    <w:rsid w:val="00A6231E"/>
    <w:rsid w:val="00A90BD6"/>
    <w:rsid w:val="00A969ED"/>
    <w:rsid w:val="00AC3449"/>
    <w:rsid w:val="00B0231B"/>
    <w:rsid w:val="00B025BD"/>
    <w:rsid w:val="00B227B2"/>
    <w:rsid w:val="00B51830"/>
    <w:rsid w:val="00B65FF2"/>
    <w:rsid w:val="00B66B95"/>
    <w:rsid w:val="00B676C4"/>
    <w:rsid w:val="00B837F9"/>
    <w:rsid w:val="00B93AA3"/>
    <w:rsid w:val="00B94080"/>
    <w:rsid w:val="00B9410E"/>
    <w:rsid w:val="00BD4B14"/>
    <w:rsid w:val="00BE2510"/>
    <w:rsid w:val="00BF45B6"/>
    <w:rsid w:val="00C52358"/>
    <w:rsid w:val="00C70401"/>
    <w:rsid w:val="00C70989"/>
    <w:rsid w:val="00C74F60"/>
    <w:rsid w:val="00C81747"/>
    <w:rsid w:val="00C96DCD"/>
    <w:rsid w:val="00CA5582"/>
    <w:rsid w:val="00CB1A60"/>
    <w:rsid w:val="00CB6F1B"/>
    <w:rsid w:val="00CD0095"/>
    <w:rsid w:val="00CE1C13"/>
    <w:rsid w:val="00CE2AD0"/>
    <w:rsid w:val="00D032B2"/>
    <w:rsid w:val="00D109B5"/>
    <w:rsid w:val="00D204FA"/>
    <w:rsid w:val="00D37884"/>
    <w:rsid w:val="00D40FC0"/>
    <w:rsid w:val="00D4651A"/>
    <w:rsid w:val="00D47C74"/>
    <w:rsid w:val="00D5124D"/>
    <w:rsid w:val="00D82180"/>
    <w:rsid w:val="00D84B6B"/>
    <w:rsid w:val="00D852B4"/>
    <w:rsid w:val="00D97B1A"/>
    <w:rsid w:val="00DA509F"/>
    <w:rsid w:val="00DC0F12"/>
    <w:rsid w:val="00DD3AD3"/>
    <w:rsid w:val="00DF7603"/>
    <w:rsid w:val="00E075CD"/>
    <w:rsid w:val="00E10B83"/>
    <w:rsid w:val="00E1167A"/>
    <w:rsid w:val="00E12521"/>
    <w:rsid w:val="00E1464A"/>
    <w:rsid w:val="00E15D6C"/>
    <w:rsid w:val="00E16A96"/>
    <w:rsid w:val="00E4439D"/>
    <w:rsid w:val="00E57914"/>
    <w:rsid w:val="00E77FB0"/>
    <w:rsid w:val="00E84888"/>
    <w:rsid w:val="00EA5CE6"/>
    <w:rsid w:val="00EA6B7F"/>
    <w:rsid w:val="00ED3785"/>
    <w:rsid w:val="00EE0AAD"/>
    <w:rsid w:val="00EE7CF4"/>
    <w:rsid w:val="00F37B9C"/>
    <w:rsid w:val="00F46CB4"/>
    <w:rsid w:val="00F53D5F"/>
    <w:rsid w:val="00F56259"/>
    <w:rsid w:val="00F72CDA"/>
    <w:rsid w:val="00FE065B"/>
    <w:rsid w:val="03AA212C"/>
    <w:rsid w:val="06319E97"/>
    <w:rsid w:val="09649A0C"/>
    <w:rsid w:val="0B13E13C"/>
    <w:rsid w:val="1021C4FB"/>
    <w:rsid w:val="1321F771"/>
    <w:rsid w:val="179E306B"/>
    <w:rsid w:val="17E7B1DF"/>
    <w:rsid w:val="1ACAFF6A"/>
    <w:rsid w:val="1D1AED6C"/>
    <w:rsid w:val="1DEC2FA8"/>
    <w:rsid w:val="271A54C1"/>
    <w:rsid w:val="286B0A3B"/>
    <w:rsid w:val="3331DB6D"/>
    <w:rsid w:val="34A07680"/>
    <w:rsid w:val="39C8B963"/>
    <w:rsid w:val="3B830F8B"/>
    <w:rsid w:val="3C39B089"/>
    <w:rsid w:val="41200976"/>
    <w:rsid w:val="414D2B14"/>
    <w:rsid w:val="4410AA3B"/>
    <w:rsid w:val="45482BCE"/>
    <w:rsid w:val="47B4C788"/>
    <w:rsid w:val="486388C7"/>
    <w:rsid w:val="54C603F5"/>
    <w:rsid w:val="5516C0F8"/>
    <w:rsid w:val="57916112"/>
    <w:rsid w:val="5F28BE79"/>
    <w:rsid w:val="6576BB93"/>
    <w:rsid w:val="6C59FF89"/>
    <w:rsid w:val="7315F788"/>
    <w:rsid w:val="76BD09FA"/>
    <w:rsid w:val="78DE4DD4"/>
    <w:rsid w:val="7B82AEEE"/>
    <w:rsid w:val="7CE29A31"/>
    <w:rsid w:val="7EC04181"/>
    <w:rsid w:val="7F6047C1"/>
    <w:rsid w:val="7F9310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8F5AB"/>
  <w15:chartTrackingRefBased/>
  <w15:docId w15:val="{23DFAE11-553F-432B-A68E-7D72A6580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4A"/>
  </w:style>
  <w:style w:type="paragraph" w:styleId="Heading1">
    <w:name w:val="heading 1"/>
    <w:basedOn w:val="Normal"/>
    <w:next w:val="Normal"/>
    <w:link w:val="Heading1Char"/>
    <w:uiPriority w:val="9"/>
    <w:qFormat/>
    <w:rsid w:val="001F2D19"/>
    <w:pPr>
      <w:keepNext/>
      <w:keepLines/>
      <w:numPr>
        <w:numId w:val="1"/>
      </w:numPr>
      <w:spacing w:before="240" w:after="0"/>
      <w:ind w:left="357" w:hanging="357"/>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F7633"/>
    <w:pPr>
      <w:spacing w:before="160" w:after="0" w:line="276" w:lineRule="auto"/>
      <w:jc w:val="both"/>
      <w:outlineLvl w:val="1"/>
    </w:pPr>
    <w:rPr>
      <w:b/>
      <w:i/>
      <w:color w:val="000000"/>
    </w:rPr>
  </w:style>
  <w:style w:type="paragraph" w:styleId="Heading3">
    <w:name w:val="heading 3"/>
    <w:basedOn w:val="Normal"/>
    <w:next w:val="Normal"/>
    <w:link w:val="Heading3Char"/>
    <w:uiPriority w:val="9"/>
    <w:semiHidden/>
    <w:unhideWhenUsed/>
    <w:qFormat/>
    <w:rsid w:val="00881B4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2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F4A"/>
    <w:rPr>
      <w:rFonts w:ascii="Segoe UI" w:hAnsi="Segoe UI" w:cs="Segoe UI"/>
      <w:sz w:val="18"/>
      <w:szCs w:val="18"/>
    </w:rPr>
  </w:style>
  <w:style w:type="paragraph" w:styleId="ListParagraph">
    <w:name w:val="List Paragraph"/>
    <w:aliases w:val="References,Bullets,Paragraphe  revu,List Paragraph (numbered (a)),Numbered List Paragraph,Liste 1,List Paragraph1,List Bullet Mary,Celula,List Paragraph nowy,ReferencesCxSpLast,List_Paragraph,Multilevel para_II,List number Paragraph,Ha"/>
    <w:basedOn w:val="Normal"/>
    <w:link w:val="ListParagraphChar"/>
    <w:uiPriority w:val="34"/>
    <w:qFormat/>
    <w:rsid w:val="00662F4A"/>
    <w:pPr>
      <w:ind w:left="720"/>
      <w:contextualSpacing/>
    </w:pPr>
  </w:style>
  <w:style w:type="table" w:styleId="TableGrid">
    <w:name w:val="Table Grid"/>
    <w:basedOn w:val="TableNormal"/>
    <w:uiPriority w:val="39"/>
    <w:rsid w:val="00662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2F4A"/>
    <w:rPr>
      <w:color w:val="0563C1" w:themeColor="hyperlink"/>
      <w:u w:val="single"/>
    </w:rPr>
  </w:style>
  <w:style w:type="character" w:customStyle="1" w:styleId="ListParagraphChar">
    <w:name w:val="List Paragraph Char"/>
    <w:aliases w:val="References Char,Bullets Char,Paragraphe  revu Char,List Paragraph (numbered (a)) Char,Numbered List Paragraph Char,Liste 1 Char,List Paragraph1 Char,List Bullet Mary Char,Celula Char,List Paragraph nowy Char,ReferencesCxSpLast Char"/>
    <w:basedOn w:val="DefaultParagraphFont"/>
    <w:link w:val="ListParagraph"/>
    <w:uiPriority w:val="34"/>
    <w:qFormat/>
    <w:rsid w:val="00662F4A"/>
  </w:style>
  <w:style w:type="paragraph" w:styleId="Header">
    <w:name w:val="header"/>
    <w:basedOn w:val="Normal"/>
    <w:link w:val="HeaderChar"/>
    <w:uiPriority w:val="99"/>
    <w:unhideWhenUsed/>
    <w:rsid w:val="00662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F4A"/>
  </w:style>
  <w:style w:type="paragraph" w:styleId="Footer">
    <w:name w:val="footer"/>
    <w:basedOn w:val="Normal"/>
    <w:link w:val="FooterChar"/>
    <w:uiPriority w:val="99"/>
    <w:unhideWhenUsed/>
    <w:rsid w:val="00662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F4A"/>
  </w:style>
  <w:style w:type="character" w:customStyle="1" w:styleId="Heading1Char">
    <w:name w:val="Heading 1 Char"/>
    <w:basedOn w:val="DefaultParagraphFont"/>
    <w:link w:val="Heading1"/>
    <w:uiPriority w:val="9"/>
    <w:rsid w:val="001F2D19"/>
    <w:rPr>
      <w:rFonts w:eastAsiaTheme="majorEastAsia" w:cstheme="majorBidi"/>
      <w:b/>
      <w:szCs w:val="32"/>
    </w:rPr>
  </w:style>
  <w:style w:type="character" w:styleId="CommentReference">
    <w:name w:val="annotation reference"/>
    <w:basedOn w:val="DefaultParagraphFont"/>
    <w:uiPriority w:val="99"/>
    <w:semiHidden/>
    <w:unhideWhenUsed/>
    <w:rsid w:val="00903DFD"/>
    <w:rPr>
      <w:sz w:val="16"/>
      <w:szCs w:val="16"/>
    </w:rPr>
  </w:style>
  <w:style w:type="paragraph" w:styleId="CommentText">
    <w:name w:val="annotation text"/>
    <w:basedOn w:val="Normal"/>
    <w:link w:val="CommentTextChar"/>
    <w:uiPriority w:val="99"/>
    <w:unhideWhenUsed/>
    <w:rsid w:val="00903DFD"/>
    <w:pPr>
      <w:spacing w:line="240" w:lineRule="auto"/>
    </w:pPr>
    <w:rPr>
      <w:sz w:val="20"/>
      <w:szCs w:val="20"/>
    </w:rPr>
  </w:style>
  <w:style w:type="character" w:customStyle="1" w:styleId="CommentTextChar">
    <w:name w:val="Comment Text Char"/>
    <w:basedOn w:val="DefaultParagraphFont"/>
    <w:link w:val="CommentText"/>
    <w:uiPriority w:val="99"/>
    <w:rsid w:val="00903DFD"/>
    <w:rPr>
      <w:sz w:val="20"/>
      <w:szCs w:val="20"/>
    </w:rPr>
  </w:style>
  <w:style w:type="paragraph" w:styleId="CommentSubject">
    <w:name w:val="annotation subject"/>
    <w:basedOn w:val="CommentText"/>
    <w:next w:val="CommentText"/>
    <w:link w:val="CommentSubjectChar"/>
    <w:uiPriority w:val="99"/>
    <w:semiHidden/>
    <w:unhideWhenUsed/>
    <w:rsid w:val="00903DFD"/>
    <w:rPr>
      <w:b/>
      <w:bCs/>
    </w:rPr>
  </w:style>
  <w:style w:type="character" w:customStyle="1" w:styleId="CommentSubjectChar">
    <w:name w:val="Comment Subject Char"/>
    <w:basedOn w:val="CommentTextChar"/>
    <w:link w:val="CommentSubject"/>
    <w:uiPriority w:val="99"/>
    <w:semiHidden/>
    <w:rsid w:val="00903DFD"/>
    <w:rPr>
      <w:b/>
      <w:bCs/>
      <w:sz w:val="20"/>
      <w:szCs w:val="20"/>
    </w:rPr>
  </w:style>
  <w:style w:type="paragraph" w:styleId="TOCHeading">
    <w:name w:val="TOC Heading"/>
    <w:basedOn w:val="Heading1"/>
    <w:next w:val="Normal"/>
    <w:uiPriority w:val="39"/>
    <w:unhideWhenUsed/>
    <w:qFormat/>
    <w:rsid w:val="00681E7E"/>
    <w:pPr>
      <w:outlineLvl w:val="9"/>
    </w:pPr>
  </w:style>
  <w:style w:type="paragraph" w:styleId="TOC1">
    <w:name w:val="toc 1"/>
    <w:basedOn w:val="Normal"/>
    <w:next w:val="Normal"/>
    <w:autoRedefine/>
    <w:uiPriority w:val="39"/>
    <w:unhideWhenUsed/>
    <w:rsid w:val="00681E7E"/>
    <w:pPr>
      <w:spacing w:after="100"/>
    </w:pPr>
  </w:style>
  <w:style w:type="paragraph" w:styleId="Revision">
    <w:name w:val="Revision"/>
    <w:hidden/>
    <w:uiPriority w:val="99"/>
    <w:semiHidden/>
    <w:rsid w:val="00444EFF"/>
    <w:pPr>
      <w:spacing w:after="0" w:line="240" w:lineRule="auto"/>
    </w:pPr>
  </w:style>
  <w:style w:type="paragraph" w:customStyle="1" w:styleId="m6628647144733026744msolistparagraph">
    <w:name w:val="m_6628647144733026744msolistparagraph"/>
    <w:basedOn w:val="Normal"/>
    <w:rsid w:val="00657CF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3Char">
    <w:name w:val="Heading 3 Char"/>
    <w:basedOn w:val="DefaultParagraphFont"/>
    <w:link w:val="Heading3"/>
    <w:uiPriority w:val="9"/>
    <w:semiHidden/>
    <w:rsid w:val="00881B48"/>
    <w:rPr>
      <w:rFonts w:asciiTheme="majorHAnsi" w:eastAsiaTheme="majorEastAsia" w:hAnsiTheme="majorHAnsi" w:cstheme="majorBidi"/>
      <w:color w:val="1F3763" w:themeColor="accent1" w:themeShade="7F"/>
      <w:sz w:val="24"/>
      <w:szCs w:val="24"/>
    </w:rPr>
  </w:style>
  <w:style w:type="paragraph" w:customStyle="1" w:styleId="Style1">
    <w:name w:val="Style1"/>
    <w:basedOn w:val="Normal"/>
    <w:link w:val="Style1Char"/>
    <w:qFormat/>
    <w:rsid w:val="003D3023"/>
    <w:pPr>
      <w:autoSpaceDE w:val="0"/>
      <w:autoSpaceDN w:val="0"/>
      <w:adjustRightInd w:val="0"/>
      <w:spacing w:after="0" w:line="240" w:lineRule="auto"/>
    </w:pPr>
    <w:rPr>
      <w:rFonts w:ascii="Calibri" w:eastAsia="ヒラギノ角ゴ Pro W3" w:hAnsi="Calibri" w:cs="Times New Roman"/>
      <w:noProof/>
      <w:color w:val="000000"/>
      <w:sz w:val="20"/>
      <w:lang w:val="en-CA" w:eastAsia="es-ES_tradnl"/>
    </w:rPr>
  </w:style>
  <w:style w:type="character" w:customStyle="1" w:styleId="Style1Char">
    <w:name w:val="Style1 Char"/>
    <w:basedOn w:val="DefaultParagraphFont"/>
    <w:link w:val="Style1"/>
    <w:rsid w:val="003D3023"/>
    <w:rPr>
      <w:rFonts w:ascii="Calibri" w:eastAsia="ヒラギノ角ゴ Pro W3" w:hAnsi="Calibri" w:cs="Times New Roman"/>
      <w:noProof/>
      <w:color w:val="000000"/>
      <w:sz w:val="20"/>
      <w:lang w:val="en-CA" w:eastAsia="es-ES_tradnl"/>
    </w:rPr>
  </w:style>
  <w:style w:type="character" w:customStyle="1" w:styleId="Heading2Char">
    <w:name w:val="Heading 2 Char"/>
    <w:basedOn w:val="DefaultParagraphFont"/>
    <w:link w:val="Heading2"/>
    <w:uiPriority w:val="9"/>
    <w:rsid w:val="004F7633"/>
    <w:rPr>
      <w:b/>
      <w:i/>
      <w:color w:val="000000"/>
    </w:rPr>
  </w:style>
  <w:style w:type="table" w:customStyle="1" w:styleId="TableGrid0">
    <w:name w:val="TableGrid"/>
    <w:rsid w:val="004F7633"/>
    <w:pPr>
      <w:spacing w:after="0" w:line="240" w:lineRule="auto"/>
    </w:pPr>
    <w:rPr>
      <w:rFonts w:eastAsiaTheme="minorEastAsia"/>
      <w:lang w:val="en-CA" w:eastAsia="en-C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57CFE"/>
    <w:rPr>
      <w:color w:val="605E5C"/>
      <w:shd w:val="clear" w:color="auto" w:fill="E1DFDD"/>
    </w:rPr>
  </w:style>
  <w:style w:type="paragraph" w:styleId="TOC2">
    <w:name w:val="toc 2"/>
    <w:basedOn w:val="Normal"/>
    <w:next w:val="Normal"/>
    <w:autoRedefine/>
    <w:uiPriority w:val="39"/>
    <w:unhideWhenUsed/>
    <w:rsid w:val="00657CFE"/>
    <w:pPr>
      <w:spacing w:after="100"/>
      <w:ind w:left="220"/>
    </w:pPr>
  </w:style>
  <w:style w:type="paragraph" w:styleId="TOC3">
    <w:name w:val="toc 3"/>
    <w:basedOn w:val="Normal"/>
    <w:next w:val="Normal"/>
    <w:autoRedefine/>
    <w:uiPriority w:val="39"/>
    <w:unhideWhenUsed/>
    <w:rsid w:val="007D751D"/>
    <w:pPr>
      <w:tabs>
        <w:tab w:val="right" w:leader="dot" w:pos="9350"/>
      </w:tabs>
      <w:spacing w:after="100"/>
      <w:ind w:left="440"/>
    </w:pPr>
    <w:rPr>
      <w:b/>
      <w:bCs/>
      <w:noProof/>
    </w:rPr>
  </w:style>
  <w:style w:type="paragraph" w:styleId="Caption">
    <w:name w:val="caption"/>
    <w:basedOn w:val="Normal"/>
    <w:next w:val="Normal"/>
    <w:uiPriority w:val="35"/>
    <w:unhideWhenUsed/>
    <w:qFormat/>
    <w:rsid w:val="004244B2"/>
    <w:pPr>
      <w:spacing w:after="200" w:line="240" w:lineRule="auto"/>
    </w:pPr>
    <w:rPr>
      <w:i/>
      <w:iCs/>
      <w:color w:val="44546A" w:themeColor="text2"/>
      <w:sz w:val="18"/>
      <w:szCs w:val="18"/>
    </w:rPr>
  </w:style>
  <w:style w:type="paragraph" w:styleId="NormalWeb">
    <w:name w:val="Normal (Web)"/>
    <w:basedOn w:val="Normal"/>
    <w:uiPriority w:val="99"/>
    <w:semiHidden/>
    <w:unhideWhenUsed/>
    <w:rsid w:val="000E2C76"/>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FollowedHyperlink">
    <w:name w:val="FollowedHyperlink"/>
    <w:basedOn w:val="DefaultParagraphFont"/>
    <w:uiPriority w:val="99"/>
    <w:semiHidden/>
    <w:unhideWhenUsed/>
    <w:rsid w:val="00555A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668782">
      <w:bodyDiv w:val="1"/>
      <w:marLeft w:val="0"/>
      <w:marRight w:val="0"/>
      <w:marTop w:val="0"/>
      <w:marBottom w:val="0"/>
      <w:divBdr>
        <w:top w:val="none" w:sz="0" w:space="0" w:color="auto"/>
        <w:left w:val="none" w:sz="0" w:space="0" w:color="auto"/>
        <w:bottom w:val="none" w:sz="0" w:space="0" w:color="auto"/>
        <w:right w:val="none" w:sz="0" w:space="0" w:color="auto"/>
      </w:divBdr>
    </w:div>
    <w:div w:id="540362373">
      <w:bodyDiv w:val="1"/>
      <w:marLeft w:val="0"/>
      <w:marRight w:val="0"/>
      <w:marTop w:val="0"/>
      <w:marBottom w:val="0"/>
      <w:divBdr>
        <w:top w:val="none" w:sz="0" w:space="0" w:color="auto"/>
        <w:left w:val="none" w:sz="0" w:space="0" w:color="auto"/>
        <w:bottom w:val="none" w:sz="0" w:space="0" w:color="auto"/>
        <w:right w:val="none" w:sz="0" w:space="0" w:color="auto"/>
      </w:divBdr>
    </w:div>
    <w:div w:id="1146701000">
      <w:bodyDiv w:val="1"/>
      <w:marLeft w:val="0"/>
      <w:marRight w:val="0"/>
      <w:marTop w:val="0"/>
      <w:marBottom w:val="0"/>
      <w:divBdr>
        <w:top w:val="none" w:sz="0" w:space="0" w:color="auto"/>
        <w:left w:val="none" w:sz="0" w:space="0" w:color="auto"/>
        <w:bottom w:val="none" w:sz="0" w:space="0" w:color="auto"/>
        <w:right w:val="none" w:sz="0" w:space="0" w:color="auto"/>
      </w:divBdr>
    </w:div>
    <w:div w:id="1376926079">
      <w:bodyDiv w:val="1"/>
      <w:marLeft w:val="0"/>
      <w:marRight w:val="0"/>
      <w:marTop w:val="0"/>
      <w:marBottom w:val="0"/>
      <w:divBdr>
        <w:top w:val="none" w:sz="0" w:space="0" w:color="auto"/>
        <w:left w:val="none" w:sz="0" w:space="0" w:color="auto"/>
        <w:bottom w:val="none" w:sz="0" w:space="0" w:color="auto"/>
        <w:right w:val="none" w:sz="0" w:space="0" w:color="auto"/>
      </w:divBdr>
    </w:div>
    <w:div w:id="1433476720">
      <w:bodyDiv w:val="1"/>
      <w:marLeft w:val="0"/>
      <w:marRight w:val="0"/>
      <w:marTop w:val="0"/>
      <w:marBottom w:val="0"/>
      <w:divBdr>
        <w:top w:val="none" w:sz="0" w:space="0" w:color="auto"/>
        <w:left w:val="none" w:sz="0" w:space="0" w:color="auto"/>
        <w:bottom w:val="none" w:sz="0" w:space="0" w:color="auto"/>
        <w:right w:val="none" w:sz="0" w:space="0" w:color="auto"/>
      </w:divBdr>
    </w:div>
    <w:div w:id="1538155170">
      <w:bodyDiv w:val="1"/>
      <w:marLeft w:val="0"/>
      <w:marRight w:val="0"/>
      <w:marTop w:val="0"/>
      <w:marBottom w:val="0"/>
      <w:divBdr>
        <w:top w:val="none" w:sz="0" w:space="0" w:color="auto"/>
        <w:left w:val="none" w:sz="0" w:space="0" w:color="auto"/>
        <w:bottom w:val="none" w:sz="0" w:space="0" w:color="auto"/>
        <w:right w:val="none" w:sz="0" w:space="0" w:color="auto"/>
      </w:divBdr>
    </w:div>
    <w:div w:id="1814830178">
      <w:bodyDiv w:val="1"/>
      <w:marLeft w:val="0"/>
      <w:marRight w:val="0"/>
      <w:marTop w:val="0"/>
      <w:marBottom w:val="0"/>
      <w:divBdr>
        <w:top w:val="none" w:sz="0" w:space="0" w:color="auto"/>
        <w:left w:val="none" w:sz="0" w:space="0" w:color="auto"/>
        <w:bottom w:val="none" w:sz="0" w:space="0" w:color="auto"/>
        <w:right w:val="none" w:sz="0" w:space="0" w:color="auto"/>
      </w:divBdr>
    </w:div>
    <w:div w:id="1840269790">
      <w:bodyDiv w:val="1"/>
      <w:marLeft w:val="0"/>
      <w:marRight w:val="0"/>
      <w:marTop w:val="0"/>
      <w:marBottom w:val="0"/>
      <w:divBdr>
        <w:top w:val="none" w:sz="0" w:space="0" w:color="auto"/>
        <w:left w:val="none" w:sz="0" w:space="0" w:color="auto"/>
        <w:bottom w:val="none" w:sz="0" w:space="0" w:color="auto"/>
        <w:right w:val="none" w:sz="0" w:space="0" w:color="auto"/>
      </w:divBdr>
    </w:div>
    <w:div w:id="198543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o.org/dyn/normlex/en/f?p=NORMLEXPUB:12100:0::NO:12100:P12100_ILO_CODE:C161" TargetMode="External"/><Relationship Id="rId18" Type="http://schemas.openxmlformats.org/officeDocument/2006/relationships/hyperlink" Target="mailto:csat.gpsa@intec.edu.do"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ilo.org/dyn/normlex/en/f?p=NORMLEXPUB:12100:0::NO:12100:P12100_INSTRUMENT_ID:312300:NO" TargetMode="External"/><Relationship Id="rId17" Type="http://schemas.openxmlformats.org/officeDocument/2006/relationships/hyperlink" Target="mailto:csat.gpsa@intec.edu.do"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iwta.portal.gov.bd/sites/default/files/files/biwta.portal.gov.bd/page/f3ca1ff6_95b0_4606_849f_2c0844e455bc/2020-10-01-11-04-717aa8e02835a7e778b2fff46f531a8c.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apps.who.int/iris/bitstream/handle/10665/258604/9789241512299-eng.pdf?sequence=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i.ethicspoi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who.int/iris/bitstream/handle/10665/246107/9789241580496-eng.pdf?sequence=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64f63024e14b26b9b5b129eed0d56173">
  <xsd:schema xmlns:xsd="http://www.w3.org/2001/XMLSchema" xmlns:xs="http://www.w3.org/2001/XMLSchema" xmlns:p="http://schemas.microsoft.com/office/2006/metadata/properties" xmlns:ns3="eda4fd43-f936-4ced-9b4a-46c1ef7d5473" xmlns:ns4="aa3449fd-d373-417f-9c8d-cf261ce8b785" targetNamespace="http://schemas.microsoft.com/office/2006/metadata/properties" ma:root="true" ma:fieldsID="a54ade3fcfa3f8859efe026912838c82" ns3:_="" ns4:_="">
    <xsd:import namespace="eda4fd43-f936-4ced-9b4a-46c1ef7d5473"/>
    <xsd:import namespace="aa3449fd-d373-417f-9c8d-cf261ce8b78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0DF46-D7C7-4A93-9220-6B560F0AD6C2}">
  <ds:schemaRefs>
    <ds:schemaRef ds:uri="http://schemas.openxmlformats.org/officeDocument/2006/bibliography"/>
  </ds:schemaRefs>
</ds:datastoreItem>
</file>

<file path=customXml/itemProps2.xml><?xml version="1.0" encoding="utf-8"?>
<ds:datastoreItem xmlns:ds="http://schemas.openxmlformats.org/officeDocument/2006/customXml" ds:itemID="{F60D35F6-2711-480A-B2CD-212FA5D03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4fd43-f936-4ced-9b4a-46c1ef7d5473"/>
    <ds:schemaRef ds:uri="aa3449fd-d373-417f-9c8d-cf261ce8b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123EF-5A43-4BAF-919A-58EFF6D8E5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A00FE7-C4E8-42F4-8402-65C4922A8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6178</Words>
  <Characters>35219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chanelle Fingal-Robinson</dc:creator>
  <cp:keywords/>
  <dc:description/>
  <cp:lastModifiedBy>Nicola Bird</cp:lastModifiedBy>
  <cp:revision>2</cp:revision>
  <cp:lastPrinted>2021-08-10T15:58:00Z</cp:lastPrinted>
  <dcterms:created xsi:type="dcterms:W3CDTF">2021-10-18T00:43:00Z</dcterms:created>
  <dcterms:modified xsi:type="dcterms:W3CDTF">2021-10-18T00:43:00Z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