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0E4B" w14:textId="77777777" w:rsidR="00F06082" w:rsidRPr="001A5A94" w:rsidRDefault="00F06082" w:rsidP="00C961AA">
      <w:pPr>
        <w:spacing w:after="0"/>
        <w:jc w:val="both"/>
        <w:rPr>
          <w:rFonts w:cstheme="minorHAnsi"/>
          <w:b/>
          <w:bCs/>
          <w:lang w:val="es-MX"/>
        </w:rPr>
      </w:pPr>
    </w:p>
    <w:p w14:paraId="6928E614" w14:textId="5E83015D" w:rsidR="00F06082" w:rsidRPr="001A5A94" w:rsidRDefault="00F06082" w:rsidP="00C961AA">
      <w:pPr>
        <w:shd w:val="clear" w:color="auto" w:fill="FFFFFF"/>
        <w:jc w:val="both"/>
        <w:rPr>
          <w:rFonts w:ascii="Arial" w:hAnsi="Arial" w:cs="Arial"/>
          <w:color w:val="222222"/>
          <w:lang w:val="es-MX"/>
        </w:rPr>
      </w:pPr>
      <w:r w:rsidRPr="001A5A94"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09DBC76A" wp14:editId="62D827BF">
            <wp:simplePos x="0" y="0"/>
            <wp:positionH relativeFrom="column">
              <wp:posOffset>-32385</wp:posOffset>
            </wp:positionH>
            <wp:positionV relativeFrom="paragraph">
              <wp:posOffset>0</wp:posOffset>
            </wp:positionV>
            <wp:extent cx="2098675" cy="696595"/>
            <wp:effectExtent l="0" t="0" r="0" b="8255"/>
            <wp:wrapSquare wrapText="bothSides"/>
            <wp:docPr id="1792001987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A94">
        <w:rPr>
          <w:rFonts w:ascii="Arial" w:hAnsi="Arial" w:cs="Arial"/>
          <w:color w:val="222222"/>
          <w:lang w:val="es-MX"/>
        </w:rPr>
        <w:t> </w:t>
      </w:r>
    </w:p>
    <w:p w14:paraId="610F89A5" w14:textId="77777777" w:rsidR="00F06082" w:rsidRPr="001A5A94" w:rsidRDefault="00F06082" w:rsidP="00C961AA">
      <w:pPr>
        <w:jc w:val="both"/>
        <w:rPr>
          <w:rFonts w:asciiTheme="majorHAnsi" w:hAnsiTheme="majorHAnsi"/>
          <w:color w:val="0D0D0D" w:themeColor="text1" w:themeTint="F2"/>
          <w:sz w:val="30"/>
          <w:szCs w:val="30"/>
          <w:lang w:val="es-MX"/>
        </w:rPr>
      </w:pPr>
    </w:p>
    <w:p w14:paraId="2C206CDD" w14:textId="77777777" w:rsidR="00F06082" w:rsidRPr="001A5A94" w:rsidRDefault="00F06082" w:rsidP="00C961AA">
      <w:pPr>
        <w:jc w:val="both"/>
        <w:rPr>
          <w:rFonts w:asciiTheme="majorHAnsi" w:hAnsiTheme="majorHAnsi"/>
          <w:color w:val="0D0D0D" w:themeColor="text1" w:themeTint="F2"/>
          <w:sz w:val="30"/>
          <w:szCs w:val="30"/>
          <w:lang w:val="es-MX"/>
        </w:rPr>
      </w:pPr>
    </w:p>
    <w:p w14:paraId="72FD1FAA" w14:textId="77777777" w:rsidR="00F06082" w:rsidRPr="001A5A94" w:rsidRDefault="00F06082" w:rsidP="00C961AA">
      <w:pPr>
        <w:jc w:val="both"/>
        <w:rPr>
          <w:rFonts w:asciiTheme="majorHAnsi" w:hAnsiTheme="majorHAnsi"/>
          <w:color w:val="0D0D0D" w:themeColor="text1" w:themeTint="F2"/>
          <w:sz w:val="30"/>
          <w:szCs w:val="30"/>
          <w:lang w:val="es-MX"/>
        </w:rPr>
      </w:pPr>
    </w:p>
    <w:p w14:paraId="73B4C49A" w14:textId="77777777" w:rsidR="00F06082" w:rsidRPr="001A5A94" w:rsidRDefault="00F06082" w:rsidP="00C961AA">
      <w:pPr>
        <w:jc w:val="both"/>
        <w:rPr>
          <w:rFonts w:asciiTheme="majorHAnsi" w:hAnsiTheme="majorHAnsi"/>
          <w:color w:val="0D0D0D" w:themeColor="text1" w:themeTint="F2"/>
          <w:sz w:val="30"/>
          <w:szCs w:val="30"/>
          <w:lang w:val="es-MX"/>
        </w:rPr>
      </w:pPr>
    </w:p>
    <w:p w14:paraId="60872A19" w14:textId="77777777" w:rsidR="00EC3FA6" w:rsidRPr="001A5A94" w:rsidRDefault="00EC3FA6" w:rsidP="00C961AA">
      <w:pPr>
        <w:spacing w:after="0"/>
        <w:jc w:val="both"/>
        <w:rPr>
          <w:rFonts w:cstheme="minorHAnsi"/>
          <w:b/>
          <w:bCs/>
          <w:sz w:val="28"/>
          <w:szCs w:val="28"/>
          <w:lang w:val="es-MX"/>
        </w:rPr>
      </w:pPr>
      <w:r w:rsidRPr="001A5A94">
        <w:rPr>
          <w:rFonts w:cstheme="minorHAnsi"/>
          <w:b/>
          <w:bCs/>
          <w:sz w:val="28"/>
          <w:szCs w:val="28"/>
          <w:lang w:val="es-MX"/>
        </w:rPr>
        <w:t>Plan de Salud y Seguridad Comunitaria</w:t>
      </w:r>
    </w:p>
    <w:p w14:paraId="57D998D0" w14:textId="77777777" w:rsidR="00F06082" w:rsidRPr="001A5A94" w:rsidRDefault="00F06082" w:rsidP="00C961AA">
      <w:pPr>
        <w:jc w:val="both"/>
        <w:rPr>
          <w:rFonts w:asciiTheme="majorHAnsi" w:hAnsiTheme="majorHAnsi"/>
          <w:color w:val="0D0D0D" w:themeColor="text1" w:themeTint="F2"/>
          <w:sz w:val="30"/>
          <w:szCs w:val="30"/>
          <w:lang w:val="es-MX"/>
        </w:rPr>
      </w:pPr>
    </w:p>
    <w:p w14:paraId="51C85AEC" w14:textId="77777777" w:rsidR="00F06082" w:rsidRPr="001A5A94" w:rsidRDefault="00F06082" w:rsidP="00C961AA">
      <w:pPr>
        <w:jc w:val="both"/>
        <w:rPr>
          <w:rFonts w:asciiTheme="majorHAnsi" w:hAnsiTheme="majorHAnsi"/>
          <w:color w:val="0D0D0D" w:themeColor="text1" w:themeTint="F2"/>
          <w:sz w:val="30"/>
          <w:szCs w:val="30"/>
          <w:lang w:val="es-MX"/>
        </w:rPr>
      </w:pPr>
    </w:p>
    <w:p w14:paraId="0E54F724" w14:textId="02CB9C1D" w:rsidR="00F06082" w:rsidRPr="001A5A94" w:rsidRDefault="00F06082" w:rsidP="00C961AA">
      <w:pPr>
        <w:jc w:val="both"/>
        <w:rPr>
          <w:rFonts w:cstheme="minorHAnsi"/>
          <w:sz w:val="24"/>
          <w:szCs w:val="24"/>
          <w:lang w:val="es-MX"/>
        </w:rPr>
      </w:pPr>
      <w:r w:rsidRPr="001A5A94">
        <w:rPr>
          <w:rFonts w:cstheme="minorHAnsi"/>
          <w:sz w:val="24"/>
          <w:szCs w:val="24"/>
          <w:lang w:val="es-MX"/>
        </w:rPr>
        <w:t>16 de julio de 2021</w:t>
      </w:r>
    </w:p>
    <w:p w14:paraId="6C99C6AA" w14:textId="4C5422E2" w:rsidR="00F06082" w:rsidRPr="001A5A94" w:rsidRDefault="00E36A29" w:rsidP="00C961AA">
      <w:pPr>
        <w:jc w:val="both"/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es-MX"/>
        </w:rPr>
      </w:pPr>
      <w:r w:rsidRPr="001A5A94">
        <w:rPr>
          <w:rFonts w:cstheme="minorHAnsi"/>
          <w:b/>
          <w:bCs/>
          <w:sz w:val="24"/>
          <w:szCs w:val="24"/>
          <w:lang w:val="es-MX"/>
        </w:rPr>
        <w:t xml:space="preserve">Subvención </w:t>
      </w:r>
      <w:r w:rsidR="00F06082" w:rsidRPr="001A5A94">
        <w:rPr>
          <w:rFonts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="00F06082" w:rsidRPr="001A5A94">
        <w:rPr>
          <w:rFonts w:cstheme="minorHAnsi"/>
          <w:b/>
          <w:bCs/>
          <w:sz w:val="24"/>
          <w:szCs w:val="24"/>
          <w:lang w:val="es-MX"/>
        </w:rPr>
        <w:t>CEPF</w:t>
      </w:r>
      <w:proofErr w:type="spellEnd"/>
      <w:r w:rsidR="00F06082" w:rsidRPr="001A5A94">
        <w:rPr>
          <w:rFonts w:cstheme="minorHAnsi"/>
          <w:b/>
          <w:bCs/>
          <w:sz w:val="24"/>
          <w:szCs w:val="24"/>
          <w:lang w:val="es-MX"/>
        </w:rPr>
        <w:t xml:space="preserve"> </w:t>
      </w:r>
      <w:r w:rsidR="00F06082" w:rsidRPr="001A5A94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es-MX"/>
        </w:rPr>
        <w:t>111512</w:t>
      </w:r>
    </w:p>
    <w:p w14:paraId="62675680" w14:textId="77777777" w:rsidR="00F06082" w:rsidRPr="001A5A94" w:rsidRDefault="00F06082" w:rsidP="00C961AA">
      <w:pPr>
        <w:jc w:val="both"/>
        <w:rPr>
          <w:rFonts w:cstheme="minorHAnsi"/>
          <w:sz w:val="24"/>
          <w:szCs w:val="24"/>
          <w:lang w:val="es-MX"/>
        </w:rPr>
      </w:pPr>
    </w:p>
    <w:p w14:paraId="316E5853" w14:textId="77777777" w:rsidR="00F06082" w:rsidRPr="001A5A94" w:rsidRDefault="00F06082" w:rsidP="00C961AA">
      <w:pPr>
        <w:jc w:val="both"/>
        <w:rPr>
          <w:rFonts w:eastAsiaTheme="majorEastAsia" w:cstheme="minorHAnsi"/>
          <w:spacing w:val="-10"/>
          <w:kern w:val="28"/>
          <w:sz w:val="24"/>
          <w:szCs w:val="24"/>
          <w:lang w:val="es-MX"/>
        </w:rPr>
      </w:pPr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>Instituto Tecnológico de Santo Domingo (</w:t>
      </w:r>
      <w:proofErr w:type="spellStart"/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>INTEC</w:t>
      </w:r>
      <w:proofErr w:type="spellEnd"/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 xml:space="preserve">) e </w:t>
      </w:r>
      <w:proofErr w:type="spellStart"/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>Integrated</w:t>
      </w:r>
      <w:proofErr w:type="spellEnd"/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 xml:space="preserve"> </w:t>
      </w:r>
      <w:proofErr w:type="spellStart"/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>Health</w:t>
      </w:r>
      <w:proofErr w:type="spellEnd"/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 xml:space="preserve"> </w:t>
      </w:r>
      <w:proofErr w:type="spellStart"/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>Outreach</w:t>
      </w:r>
      <w:proofErr w:type="spellEnd"/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 xml:space="preserve"> Inc. (</w:t>
      </w:r>
      <w:proofErr w:type="spellStart"/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>IHO</w:t>
      </w:r>
      <w:proofErr w:type="spellEnd"/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>)</w:t>
      </w:r>
    </w:p>
    <w:p w14:paraId="713F2A3D" w14:textId="77777777" w:rsidR="00F06082" w:rsidRPr="001A5A94" w:rsidRDefault="00F06082" w:rsidP="00C961AA">
      <w:pPr>
        <w:jc w:val="both"/>
        <w:rPr>
          <w:rFonts w:eastAsiaTheme="majorEastAsia" w:cstheme="minorHAnsi"/>
          <w:spacing w:val="-10"/>
          <w:kern w:val="28"/>
          <w:sz w:val="24"/>
          <w:szCs w:val="24"/>
          <w:lang w:val="es-MX"/>
        </w:rPr>
      </w:pPr>
    </w:p>
    <w:p w14:paraId="1988C40A" w14:textId="6C218E7E" w:rsidR="00F06082" w:rsidRPr="001A5A94" w:rsidRDefault="006201B9" w:rsidP="00C961AA">
      <w:pPr>
        <w:jc w:val="both"/>
        <w:rPr>
          <w:rFonts w:eastAsiaTheme="majorEastAsia" w:cstheme="minorHAnsi"/>
          <w:spacing w:val="-10"/>
          <w:kern w:val="28"/>
          <w:sz w:val="24"/>
          <w:szCs w:val="24"/>
          <w:lang w:val="es-MX"/>
        </w:rPr>
      </w:pPr>
      <w:r w:rsidRPr="006201B9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 xml:space="preserve">PROYECTO DE </w:t>
      </w:r>
      <w:r w:rsidR="000041C3" w:rsidRPr="006201B9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 xml:space="preserve">RESPONSABILIDAD SOCIAL COLABORATIVA PARA MEJORAR LA GOBERNANZA EN LA PROTECCIÓN DE LA BIODIVERSIDAD </w:t>
      </w:r>
      <w:r w:rsidRPr="006201B9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>EN EL HOTSPOT D</w:t>
      </w:r>
      <w:r w:rsidR="00E36A29" w:rsidRPr="006201B9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 xml:space="preserve">E </w:t>
      </w:r>
      <w:r w:rsidR="005877FF" w:rsidRPr="006201B9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 xml:space="preserve">BIODIVERSIDAD DE </w:t>
      </w:r>
      <w:r w:rsidR="000041C3" w:rsidRPr="006201B9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>ISLAS DEL CARIBE</w:t>
      </w:r>
      <w:r w:rsidR="000041C3"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 xml:space="preserve"> </w:t>
      </w:r>
    </w:p>
    <w:p w14:paraId="2ED58528" w14:textId="77777777" w:rsidR="00F06082" w:rsidRPr="001A5A94" w:rsidRDefault="00F06082" w:rsidP="00C961AA">
      <w:pPr>
        <w:jc w:val="both"/>
        <w:rPr>
          <w:rFonts w:cstheme="minorHAnsi"/>
          <w:sz w:val="24"/>
          <w:szCs w:val="24"/>
          <w:lang w:val="es-MX"/>
        </w:rPr>
      </w:pPr>
      <w:r w:rsidRPr="001A5A94">
        <w:rPr>
          <w:rFonts w:eastAsiaTheme="majorEastAsia" w:cstheme="minorHAnsi"/>
          <w:spacing w:val="-10"/>
          <w:kern w:val="28"/>
          <w:sz w:val="24"/>
          <w:szCs w:val="24"/>
          <w:lang w:val="es-MX"/>
        </w:rPr>
        <w:t>República Dominicana, Antigua y Barbuda, Jamaica y Santa Lucía</w:t>
      </w:r>
    </w:p>
    <w:p w14:paraId="382330B7" w14:textId="77777777" w:rsidR="00F06082" w:rsidRPr="001A5A94" w:rsidRDefault="00F06082" w:rsidP="00C961AA">
      <w:pPr>
        <w:jc w:val="both"/>
        <w:rPr>
          <w:rFonts w:cstheme="minorHAnsi"/>
          <w:b/>
          <w:bCs/>
          <w:iCs/>
          <w:lang w:val="es-MX"/>
        </w:rPr>
      </w:pPr>
      <w:r w:rsidRPr="001A5A94">
        <w:rPr>
          <w:rFonts w:cstheme="minorHAnsi"/>
          <w:b/>
          <w:bCs/>
          <w:iCs/>
          <w:u w:val="single"/>
          <w:lang w:val="es-MX"/>
        </w:rPr>
        <w:br w:type="column"/>
      </w:r>
      <w:r w:rsidRPr="001A5A94">
        <w:rPr>
          <w:rFonts w:cstheme="minorHAnsi"/>
          <w:b/>
          <w:bCs/>
          <w:iCs/>
          <w:u w:val="single"/>
          <w:lang w:val="es-MX"/>
        </w:rPr>
        <w:lastRenderedPageBreak/>
        <w:t>Resumen de la subvención</w:t>
      </w:r>
    </w:p>
    <w:p w14:paraId="507702B8" w14:textId="07E61B4B" w:rsidR="00084718" w:rsidRPr="006201B9" w:rsidRDefault="00084718" w:rsidP="00C961AA">
      <w:pPr>
        <w:pStyle w:val="Heading1"/>
        <w:numPr>
          <w:ilvl w:val="0"/>
          <w:numId w:val="3"/>
        </w:numPr>
        <w:tabs>
          <w:tab w:val="num" w:pos="451"/>
        </w:tabs>
        <w:ind w:left="357" w:hanging="357"/>
        <w:jc w:val="both"/>
        <w:rPr>
          <w:rFonts w:cstheme="minorHAnsi"/>
          <w:lang w:val="es-MX"/>
        </w:rPr>
      </w:pPr>
      <w:bookmarkStart w:id="0" w:name="_Toc76399742"/>
      <w:bookmarkStart w:id="1" w:name="_Toc76813854"/>
      <w:r w:rsidRPr="006201B9">
        <w:rPr>
          <w:rStyle w:val="Heading1Char"/>
          <w:rFonts w:cstheme="minorHAnsi"/>
          <w:b/>
          <w:bCs/>
          <w:szCs w:val="22"/>
          <w:lang w:val="es-MX"/>
        </w:rPr>
        <w:t>Organización beneficiaria</w:t>
      </w:r>
      <w:bookmarkEnd w:id="0"/>
      <w:r w:rsidR="00CB6C83" w:rsidRPr="006201B9">
        <w:rPr>
          <w:rStyle w:val="Heading1Char"/>
          <w:rFonts w:cstheme="minorHAnsi"/>
          <w:b/>
          <w:bCs/>
          <w:szCs w:val="22"/>
          <w:lang w:val="es-MX"/>
        </w:rPr>
        <w:t>:</w:t>
      </w:r>
      <w:r w:rsidRPr="006201B9">
        <w:rPr>
          <w:rFonts w:cstheme="minorHAnsi"/>
          <w:szCs w:val="22"/>
          <w:lang w:val="es-MX"/>
        </w:rPr>
        <w:t xml:space="preserve"> </w:t>
      </w:r>
      <w:r w:rsidRPr="006201B9">
        <w:rPr>
          <w:b w:val="0"/>
          <w:bCs/>
          <w:lang w:val="es-MX"/>
        </w:rPr>
        <w:t>Instituto Tecnológico de Santo Domingo (</w:t>
      </w:r>
      <w:proofErr w:type="spellStart"/>
      <w:r w:rsidRPr="006201B9">
        <w:rPr>
          <w:b w:val="0"/>
          <w:bCs/>
          <w:lang w:val="es-MX"/>
        </w:rPr>
        <w:t>INTEC</w:t>
      </w:r>
      <w:proofErr w:type="spellEnd"/>
      <w:r w:rsidRPr="006201B9">
        <w:rPr>
          <w:b w:val="0"/>
          <w:bCs/>
          <w:lang w:val="es-MX"/>
        </w:rPr>
        <w:t>)</w:t>
      </w:r>
      <w:bookmarkEnd w:id="1"/>
      <w:r w:rsidRPr="006201B9">
        <w:rPr>
          <w:lang w:val="es-MX"/>
        </w:rPr>
        <w:t xml:space="preserve"> </w:t>
      </w:r>
    </w:p>
    <w:p w14:paraId="00B037EC" w14:textId="222FDC9F" w:rsidR="00084718" w:rsidRPr="006201B9" w:rsidRDefault="00084718" w:rsidP="00C961AA">
      <w:pPr>
        <w:pStyle w:val="ListParagraph"/>
        <w:numPr>
          <w:ilvl w:val="0"/>
          <w:numId w:val="2"/>
        </w:numPr>
        <w:ind w:left="357" w:hanging="357"/>
        <w:jc w:val="both"/>
        <w:rPr>
          <w:rFonts w:cstheme="minorHAnsi"/>
          <w:lang w:val="es-MX"/>
        </w:rPr>
      </w:pPr>
      <w:bookmarkStart w:id="2" w:name="_Toc76399743"/>
      <w:bookmarkStart w:id="3" w:name="_Toc76813855"/>
      <w:r w:rsidRPr="006201B9">
        <w:rPr>
          <w:rStyle w:val="Heading1Char"/>
          <w:rFonts w:cstheme="minorHAnsi"/>
          <w:lang w:val="es-MX"/>
        </w:rPr>
        <w:t xml:space="preserve">Título del </w:t>
      </w:r>
      <w:r w:rsidRPr="006201B9">
        <w:rPr>
          <w:rStyle w:val="Heading1Char"/>
          <w:rFonts w:cstheme="minorHAnsi"/>
          <w:szCs w:val="22"/>
          <w:lang w:val="es-MX"/>
        </w:rPr>
        <w:t>proyecto</w:t>
      </w:r>
      <w:bookmarkEnd w:id="2"/>
      <w:bookmarkEnd w:id="3"/>
      <w:r w:rsidR="00CB6C83" w:rsidRPr="006201B9">
        <w:rPr>
          <w:rStyle w:val="Heading1Char"/>
          <w:rFonts w:cstheme="minorHAnsi"/>
          <w:szCs w:val="22"/>
          <w:lang w:val="es-MX"/>
        </w:rPr>
        <w:t>:</w:t>
      </w:r>
      <w:r w:rsidRPr="006201B9">
        <w:rPr>
          <w:rFonts w:cstheme="minorHAnsi"/>
          <w:lang w:val="es-MX"/>
        </w:rPr>
        <w:t xml:space="preserve"> </w:t>
      </w:r>
      <w:r w:rsidR="006201B9" w:rsidRPr="006201B9">
        <w:rPr>
          <w:lang w:val="es-MX"/>
        </w:rPr>
        <w:t>RESPONSABILIDAD SOCIAL COLABORATIVA PARA MEJORAR LA GOBERNANZA EN LA PROTECCIÓN DE LA BIODIVERSIDAD EN EL HOTSPOT DE BIODIVERSIDAD DE ISLAS DEL CARIBE</w:t>
      </w:r>
    </w:p>
    <w:p w14:paraId="035DFB81" w14:textId="5054C583" w:rsidR="00084718" w:rsidRPr="001A5A94" w:rsidRDefault="00084718" w:rsidP="00C961AA">
      <w:pPr>
        <w:pStyle w:val="ListParagraph"/>
        <w:numPr>
          <w:ilvl w:val="0"/>
          <w:numId w:val="2"/>
        </w:numPr>
        <w:ind w:left="361"/>
        <w:jc w:val="both"/>
        <w:rPr>
          <w:rFonts w:cstheme="minorHAnsi"/>
          <w:lang w:val="es-MX"/>
        </w:rPr>
      </w:pPr>
      <w:bookmarkStart w:id="4" w:name="_Toc76399744"/>
      <w:bookmarkStart w:id="5" w:name="_Toc76813856"/>
      <w:r w:rsidRPr="006201B9">
        <w:rPr>
          <w:rStyle w:val="Heading1Char"/>
          <w:rFonts w:cstheme="minorHAnsi"/>
          <w:szCs w:val="22"/>
          <w:lang w:val="es-MX"/>
        </w:rPr>
        <w:t>Número</w:t>
      </w:r>
      <w:r w:rsidRPr="001A5A94">
        <w:rPr>
          <w:rStyle w:val="Heading1Char"/>
          <w:rFonts w:cstheme="minorHAnsi"/>
          <w:szCs w:val="22"/>
          <w:lang w:val="es-MX"/>
        </w:rPr>
        <w:t xml:space="preserve"> de </w:t>
      </w:r>
      <w:r w:rsidR="00E36A29" w:rsidRPr="001A5A94">
        <w:rPr>
          <w:rStyle w:val="Heading1Char"/>
          <w:rFonts w:cstheme="minorHAnsi"/>
          <w:szCs w:val="22"/>
          <w:lang w:val="es-MX"/>
        </w:rPr>
        <w:t>la subvenc</w:t>
      </w:r>
      <w:r w:rsidRPr="001A5A94">
        <w:rPr>
          <w:rStyle w:val="Heading1Char"/>
          <w:rFonts w:cstheme="minorHAnsi"/>
          <w:szCs w:val="22"/>
          <w:lang w:val="es-MX"/>
        </w:rPr>
        <w:t>ión</w:t>
      </w:r>
      <w:bookmarkEnd w:id="4"/>
      <w:bookmarkEnd w:id="5"/>
      <w:r w:rsidR="00CB6C83">
        <w:rPr>
          <w:rStyle w:val="Heading1Char"/>
          <w:rFonts w:cstheme="minorHAnsi"/>
          <w:szCs w:val="22"/>
          <w:lang w:val="es-MX"/>
        </w:rPr>
        <w:t>:</w:t>
      </w:r>
      <w:r w:rsidRPr="001A5A94">
        <w:rPr>
          <w:rFonts w:cstheme="minorHAnsi"/>
          <w:lang w:val="es-MX"/>
        </w:rPr>
        <w:t xml:space="preserve"> 111512</w:t>
      </w:r>
    </w:p>
    <w:p w14:paraId="47864221" w14:textId="77777777" w:rsidR="00084718" w:rsidRPr="001A5A94" w:rsidRDefault="00084718" w:rsidP="00C961AA">
      <w:pPr>
        <w:pStyle w:val="ListParagraph"/>
        <w:numPr>
          <w:ilvl w:val="0"/>
          <w:numId w:val="2"/>
        </w:numPr>
        <w:ind w:left="361"/>
        <w:jc w:val="both"/>
        <w:rPr>
          <w:rFonts w:cstheme="minorHAnsi"/>
          <w:lang w:val="es-MX"/>
        </w:rPr>
      </w:pPr>
      <w:bookmarkStart w:id="6" w:name="_Toc76399745"/>
      <w:bookmarkStart w:id="7" w:name="_Toc76813857"/>
      <w:r w:rsidRPr="001A5A94">
        <w:rPr>
          <w:rStyle w:val="Heading1Char"/>
          <w:rFonts w:cstheme="minorHAnsi"/>
          <w:szCs w:val="22"/>
          <w:lang w:val="es-MX"/>
        </w:rPr>
        <w:t xml:space="preserve">Monto de la subvención (dólares estadounidenses </w:t>
      </w:r>
      <w:bookmarkEnd w:id="6"/>
      <w:bookmarkEnd w:id="7"/>
      <w:r w:rsidRPr="001A5A94">
        <w:rPr>
          <w:rFonts w:cstheme="minorHAnsi"/>
          <w:lang w:val="es-MX"/>
        </w:rPr>
        <w:t>): $ 500,000</w:t>
      </w:r>
    </w:p>
    <w:p w14:paraId="04A3CF28" w14:textId="6D846E9A" w:rsidR="00084718" w:rsidRPr="001A5A94" w:rsidRDefault="00084718" w:rsidP="00C961AA">
      <w:pPr>
        <w:pStyle w:val="ListParagraph"/>
        <w:numPr>
          <w:ilvl w:val="0"/>
          <w:numId w:val="2"/>
        </w:numPr>
        <w:ind w:left="361"/>
        <w:jc w:val="both"/>
        <w:rPr>
          <w:rFonts w:cstheme="minorHAnsi"/>
          <w:lang w:val="es-MX"/>
        </w:rPr>
      </w:pPr>
      <w:bookmarkStart w:id="8" w:name="_Toc76399746"/>
      <w:bookmarkStart w:id="9" w:name="_Toc76813858"/>
      <w:r w:rsidRPr="001A5A94">
        <w:rPr>
          <w:rStyle w:val="Heading1Char"/>
          <w:rFonts w:cstheme="minorHAnsi"/>
          <w:szCs w:val="22"/>
          <w:lang w:val="es-MX"/>
        </w:rPr>
        <w:t xml:space="preserve">Fechas propuestas de </w:t>
      </w:r>
      <w:r w:rsidR="00E36A29" w:rsidRPr="001A5A94">
        <w:rPr>
          <w:rStyle w:val="Heading1Char"/>
          <w:rFonts w:cstheme="minorHAnsi"/>
          <w:szCs w:val="22"/>
          <w:lang w:val="es-MX"/>
        </w:rPr>
        <w:t>la subvenc</w:t>
      </w:r>
      <w:r w:rsidRPr="001A5A94">
        <w:rPr>
          <w:rStyle w:val="Heading1Char"/>
          <w:rFonts w:cstheme="minorHAnsi"/>
          <w:szCs w:val="22"/>
          <w:lang w:val="es-MX"/>
        </w:rPr>
        <w:t>ión</w:t>
      </w:r>
      <w:bookmarkEnd w:id="8"/>
      <w:bookmarkEnd w:id="9"/>
      <w:r w:rsidR="00CB6C83">
        <w:rPr>
          <w:rStyle w:val="Heading1Char"/>
          <w:rFonts w:cstheme="minorHAnsi"/>
          <w:szCs w:val="22"/>
          <w:lang w:val="es-MX"/>
        </w:rPr>
        <w:t>:</w:t>
      </w:r>
      <w:r w:rsidRPr="001A5A94">
        <w:rPr>
          <w:rFonts w:cstheme="minorHAnsi"/>
          <w:lang w:val="es-MX"/>
        </w:rPr>
        <w:t xml:space="preserve"> 1 de agosto de 2021 – 31 de julio de 2025</w:t>
      </w:r>
    </w:p>
    <w:p w14:paraId="1B4ED99F" w14:textId="1BCCB09D" w:rsidR="00084718" w:rsidRPr="001A5A94" w:rsidRDefault="00084718" w:rsidP="00C961AA">
      <w:pPr>
        <w:pStyle w:val="ListParagraph"/>
        <w:numPr>
          <w:ilvl w:val="0"/>
          <w:numId w:val="2"/>
        </w:numPr>
        <w:ind w:left="361"/>
        <w:jc w:val="both"/>
        <w:rPr>
          <w:rFonts w:cstheme="minorHAnsi"/>
          <w:lang w:val="es-MX"/>
        </w:rPr>
      </w:pPr>
      <w:bookmarkStart w:id="10" w:name="_Toc76399747"/>
      <w:bookmarkStart w:id="11" w:name="_Toc76813859"/>
      <w:r w:rsidRPr="001A5A94">
        <w:rPr>
          <w:rStyle w:val="Heading1Char"/>
          <w:rFonts w:cstheme="minorHAnsi"/>
          <w:szCs w:val="22"/>
          <w:lang w:val="es-MX"/>
        </w:rPr>
        <w:t>Países donde se desarrollarán las actividades</w:t>
      </w:r>
      <w:bookmarkEnd w:id="10"/>
      <w:bookmarkEnd w:id="11"/>
      <w:r w:rsidRPr="001A5A94">
        <w:rPr>
          <w:rFonts w:cstheme="minorHAnsi"/>
          <w:b/>
          <w:bCs/>
          <w:lang w:val="es-MX"/>
        </w:rPr>
        <w:t xml:space="preserve">: </w:t>
      </w:r>
      <w:r w:rsidRPr="001A5A94">
        <w:rPr>
          <w:rFonts w:cstheme="minorHAnsi"/>
          <w:lang w:val="es-MX"/>
        </w:rPr>
        <w:t>Antigua y Barbuda, República Dominicana, Jamaica y Santa Lucía.</w:t>
      </w:r>
    </w:p>
    <w:p w14:paraId="10392EE6" w14:textId="23ACE447" w:rsidR="00F06082" w:rsidRPr="001A5A94" w:rsidRDefault="00084718" w:rsidP="00C961AA">
      <w:pPr>
        <w:pStyle w:val="ListParagraph"/>
        <w:numPr>
          <w:ilvl w:val="0"/>
          <w:numId w:val="2"/>
        </w:numPr>
        <w:spacing w:after="0"/>
        <w:ind w:left="360"/>
        <w:contextualSpacing w:val="0"/>
        <w:jc w:val="both"/>
        <w:rPr>
          <w:rFonts w:cstheme="minorHAnsi"/>
          <w:lang w:val="es-MX"/>
        </w:rPr>
      </w:pPr>
      <w:bookmarkStart w:id="12" w:name="_Toc76399748"/>
      <w:bookmarkStart w:id="13" w:name="_Toc76813860"/>
      <w:r w:rsidRPr="001A5A94">
        <w:rPr>
          <w:rStyle w:val="Heading1Char"/>
          <w:rFonts w:cstheme="minorHAnsi"/>
          <w:szCs w:val="22"/>
          <w:lang w:val="es-MX"/>
        </w:rPr>
        <w:t>Fecha de elaboración de este documento</w:t>
      </w:r>
      <w:bookmarkEnd w:id="12"/>
      <w:bookmarkEnd w:id="13"/>
      <w:r w:rsidR="00CB6C83">
        <w:rPr>
          <w:rStyle w:val="Heading1Char"/>
          <w:rFonts w:cstheme="minorHAnsi"/>
          <w:szCs w:val="22"/>
          <w:lang w:val="es-MX"/>
        </w:rPr>
        <w:t>:</w:t>
      </w:r>
      <w:r w:rsidRPr="001A5A94">
        <w:rPr>
          <w:rFonts w:cstheme="minorHAnsi"/>
          <w:lang w:val="es-MX"/>
        </w:rPr>
        <w:t xml:space="preserve"> julio de 2021</w:t>
      </w:r>
    </w:p>
    <w:p w14:paraId="4361EB13" w14:textId="45D014DB" w:rsidR="00F06082" w:rsidRPr="001A5A94" w:rsidRDefault="00F06082" w:rsidP="00C961AA">
      <w:pPr>
        <w:pStyle w:val="Heading1"/>
        <w:jc w:val="both"/>
        <w:rPr>
          <w:rFonts w:cstheme="minorHAnsi"/>
          <w:lang w:val="es-MX"/>
        </w:rPr>
      </w:pPr>
      <w:r w:rsidRPr="001A5A94">
        <w:rPr>
          <w:lang w:val="es-MX"/>
        </w:rPr>
        <w:t>Componentes del proyecto:</w:t>
      </w:r>
    </w:p>
    <w:p w14:paraId="3B2A7FEE" w14:textId="16351A59" w:rsidR="00084718" w:rsidRPr="001A5A94" w:rsidRDefault="00084718" w:rsidP="00C961AA">
      <w:pPr>
        <w:jc w:val="both"/>
        <w:rPr>
          <w:lang w:val="es-MX"/>
        </w:rPr>
      </w:pPr>
      <w:r w:rsidRPr="001A5A94">
        <w:rPr>
          <w:lang w:val="es-MX"/>
        </w:rPr>
        <w:t xml:space="preserve">Esta propuesta presentada por </w:t>
      </w:r>
      <w:proofErr w:type="spellStart"/>
      <w:r w:rsidRPr="001A5A94">
        <w:rPr>
          <w:lang w:val="es-MX"/>
        </w:rPr>
        <w:t>INTEC</w:t>
      </w:r>
      <w:proofErr w:type="spellEnd"/>
      <w:r w:rsidRPr="001A5A94">
        <w:rPr>
          <w:lang w:val="es-MX"/>
        </w:rPr>
        <w:t xml:space="preserve">, en asociación con el </w:t>
      </w:r>
      <w:proofErr w:type="spellStart"/>
      <w:r w:rsidRPr="001A5A94">
        <w:rPr>
          <w:lang w:val="es-MX"/>
        </w:rPr>
        <w:t>sub-beneficiario</w:t>
      </w:r>
      <w:proofErr w:type="spellEnd"/>
      <w:r w:rsidRPr="001A5A94">
        <w:rPr>
          <w:lang w:val="es-MX"/>
        </w:rPr>
        <w:t xml:space="preserve"> </w:t>
      </w:r>
      <w:proofErr w:type="spellStart"/>
      <w:r w:rsidRPr="001A5A94">
        <w:rPr>
          <w:lang w:val="es-MX"/>
        </w:rPr>
        <w:t>Integrated</w:t>
      </w:r>
      <w:proofErr w:type="spellEnd"/>
      <w:r w:rsidRPr="001A5A94">
        <w:rPr>
          <w:lang w:val="es-MX"/>
        </w:rPr>
        <w:t xml:space="preserve"> </w:t>
      </w:r>
      <w:proofErr w:type="spellStart"/>
      <w:r w:rsidRPr="001A5A94">
        <w:rPr>
          <w:lang w:val="es-MX"/>
        </w:rPr>
        <w:t>Health</w:t>
      </w:r>
      <w:proofErr w:type="spellEnd"/>
      <w:r w:rsidRPr="001A5A94">
        <w:rPr>
          <w:lang w:val="es-MX"/>
        </w:rPr>
        <w:t xml:space="preserve"> </w:t>
      </w:r>
      <w:proofErr w:type="spellStart"/>
      <w:r w:rsidRPr="001A5A94">
        <w:rPr>
          <w:lang w:val="es-MX"/>
        </w:rPr>
        <w:t>Outreach</w:t>
      </w:r>
      <w:proofErr w:type="spellEnd"/>
      <w:r w:rsidRPr="001A5A94">
        <w:rPr>
          <w:lang w:val="es-MX"/>
        </w:rPr>
        <w:t xml:space="preserve"> Inc. (</w:t>
      </w:r>
      <w:proofErr w:type="spellStart"/>
      <w:r w:rsidRPr="001A5A94">
        <w:rPr>
          <w:lang w:val="es-MX"/>
        </w:rPr>
        <w:t>IHO</w:t>
      </w:r>
      <w:proofErr w:type="spellEnd"/>
      <w:r w:rsidRPr="001A5A94">
        <w:rPr>
          <w:lang w:val="es-MX"/>
        </w:rPr>
        <w:t xml:space="preserve">) en Antigua y Barbuda, es un esfuerzo conjunto de la </w:t>
      </w:r>
      <w:r w:rsidR="00E36A29" w:rsidRPr="001A5A94">
        <w:rPr>
          <w:lang w:val="es-MX"/>
        </w:rPr>
        <w:t xml:space="preserve">Alianza Global para la Auditoría Social </w:t>
      </w:r>
      <w:r w:rsidRPr="001A5A94">
        <w:rPr>
          <w:lang w:val="es-MX"/>
        </w:rPr>
        <w:t xml:space="preserve"> (</w:t>
      </w:r>
      <w:proofErr w:type="spellStart"/>
      <w:r w:rsidRPr="001A5A94">
        <w:rPr>
          <w:lang w:val="es-MX"/>
        </w:rPr>
        <w:t>GPSA</w:t>
      </w:r>
      <w:proofErr w:type="spellEnd"/>
      <w:r w:rsidRPr="001A5A94">
        <w:rPr>
          <w:lang w:val="es-MX"/>
        </w:rPr>
        <w:t xml:space="preserve">) del Banco Mundial y el </w:t>
      </w:r>
      <w:r w:rsidR="00EC3FA6" w:rsidRPr="001A5A94">
        <w:rPr>
          <w:lang w:val="es-MX"/>
        </w:rPr>
        <w:t xml:space="preserve">Fondo de </w:t>
      </w:r>
      <w:r w:rsidR="00464512" w:rsidRPr="001A5A94">
        <w:rPr>
          <w:lang w:val="es-MX"/>
        </w:rPr>
        <w:t>Alianzas</w:t>
      </w:r>
      <w:r w:rsidR="00E36A29" w:rsidRPr="001A5A94">
        <w:rPr>
          <w:lang w:val="es-MX"/>
        </w:rPr>
        <w:t xml:space="preserve"> para los</w:t>
      </w:r>
      <w:r w:rsidR="00EC3FA6" w:rsidRPr="001A5A94">
        <w:rPr>
          <w:lang w:val="es-MX"/>
        </w:rPr>
        <w:t xml:space="preserve"> Ecosistemas Críticos (</w:t>
      </w:r>
      <w:proofErr w:type="spellStart"/>
      <w:r w:rsidR="00EC3FA6" w:rsidRPr="001A5A94">
        <w:rPr>
          <w:lang w:val="es-MX"/>
        </w:rPr>
        <w:t>CEPF</w:t>
      </w:r>
      <w:proofErr w:type="spellEnd"/>
      <w:r w:rsidR="00EC3FA6" w:rsidRPr="001A5A94">
        <w:rPr>
          <w:lang w:val="es-MX"/>
        </w:rPr>
        <w:t>),</w:t>
      </w:r>
      <w:r w:rsidR="00E36A29" w:rsidRPr="001A5A94">
        <w:rPr>
          <w:lang w:val="es-MX"/>
        </w:rPr>
        <w:t xml:space="preserve"> para</w:t>
      </w:r>
      <w:r w:rsidR="00EC3FA6" w:rsidRPr="001A5A94">
        <w:rPr>
          <w:lang w:val="es-MX"/>
        </w:rPr>
        <w:t xml:space="preserve"> contribuir a mejorar la conservación de la biodiversidad en las </w:t>
      </w:r>
      <w:proofErr w:type="spellStart"/>
      <w:r w:rsidR="00E36A29" w:rsidRPr="001A5A94">
        <w:rPr>
          <w:lang w:val="es-MX"/>
        </w:rPr>
        <w:t>KBA</w:t>
      </w:r>
      <w:proofErr w:type="spellEnd"/>
      <w:r w:rsidR="00EC3FA6" w:rsidRPr="001A5A94">
        <w:rPr>
          <w:lang w:val="es-MX"/>
        </w:rPr>
        <w:t xml:space="preserve"> ubicadas en cuatro países del Caribe (República Dominicana y Antigua y Barbuda, durante el primer año, con replicación adaptativa en Jamaica y Santa Lucía durante los años 2 a 4) a través de mecanismos colaborativos de responsabilidad social entre gobiernos, ciudadanos y organizaciones de la sociedad civil (</w:t>
      </w:r>
      <w:proofErr w:type="spellStart"/>
      <w:r w:rsidR="00EC3FA6" w:rsidRPr="001A5A94">
        <w:rPr>
          <w:lang w:val="es-MX"/>
        </w:rPr>
        <w:t>OSC</w:t>
      </w:r>
      <w:proofErr w:type="spellEnd"/>
      <w:r w:rsidR="00EC3FA6" w:rsidRPr="001A5A94">
        <w:rPr>
          <w:lang w:val="es-MX"/>
        </w:rPr>
        <w:t xml:space="preserve">). La </w:t>
      </w:r>
      <w:r w:rsidR="00B007AD" w:rsidRPr="001A5A94">
        <w:rPr>
          <w:lang w:val="es-MX"/>
        </w:rPr>
        <w:t xml:space="preserve">auditoría y </w:t>
      </w:r>
      <w:r w:rsidR="00EC3FA6" w:rsidRPr="001A5A94">
        <w:rPr>
          <w:lang w:val="es-MX"/>
        </w:rPr>
        <w:t>rendición de cuentas es la piedra angular de</w:t>
      </w:r>
      <w:r w:rsidR="00B007AD" w:rsidRPr="001A5A94">
        <w:rPr>
          <w:lang w:val="es-MX"/>
        </w:rPr>
        <w:t xml:space="preserve"> la buena gobernanza</w:t>
      </w:r>
      <w:r w:rsidR="00EC3FA6" w:rsidRPr="001A5A94">
        <w:rPr>
          <w:lang w:val="es-MX"/>
        </w:rPr>
        <w:t>. En el contexto de la conservación de la biodiversidad, es un elemento esencial de la gobernanza de los recursos naturales que equilibra la necesidad de protección y reposición a largo plazo del capital natural con los imperativos de desarrollo a corto plazo. La responsabilidad social colaborativa es un conjunto de metodologías y herramientas para el compromiso constructivo de los ciudadanos y las organizaciones de la sociedad civil (</w:t>
      </w:r>
      <w:proofErr w:type="spellStart"/>
      <w:r w:rsidR="00EC3FA6" w:rsidRPr="001A5A94">
        <w:rPr>
          <w:lang w:val="es-MX"/>
        </w:rPr>
        <w:t>OSC</w:t>
      </w:r>
      <w:proofErr w:type="spellEnd"/>
      <w:r w:rsidR="00EC3FA6" w:rsidRPr="001A5A94">
        <w:rPr>
          <w:lang w:val="es-MX"/>
        </w:rPr>
        <w:t>) con las instituciones del sector público, para generar una mayor voz para las preocupaciones de los ciudadanos y la capacidad de respuesta a sus necesidades.</w:t>
      </w:r>
    </w:p>
    <w:p w14:paraId="4F3BCB74" w14:textId="55EE89D1" w:rsidR="00084718" w:rsidRPr="001A5A94" w:rsidRDefault="00084718" w:rsidP="00C961AA">
      <w:pPr>
        <w:jc w:val="both"/>
        <w:rPr>
          <w:lang w:val="es-MX"/>
        </w:rPr>
      </w:pPr>
      <w:proofErr w:type="spellStart"/>
      <w:r w:rsidRPr="001A5A94">
        <w:rPr>
          <w:lang w:val="es-MX"/>
        </w:rPr>
        <w:t>INTEC</w:t>
      </w:r>
      <w:proofErr w:type="spellEnd"/>
      <w:r w:rsidRPr="001A5A94">
        <w:rPr>
          <w:lang w:val="es-MX"/>
        </w:rPr>
        <w:t xml:space="preserve"> aplicará metodologías y herramientas de responsabilidad social para facilitar alianzas para la conservación. Estas alianzas reunirán a instituciones del sector público a nivel central y local, </w:t>
      </w:r>
      <w:proofErr w:type="spellStart"/>
      <w:r w:rsidRPr="001A5A94">
        <w:rPr>
          <w:lang w:val="es-MX"/>
        </w:rPr>
        <w:t>OSC</w:t>
      </w:r>
      <w:proofErr w:type="spellEnd"/>
      <w:r w:rsidRPr="001A5A94">
        <w:rPr>
          <w:lang w:val="es-MX"/>
        </w:rPr>
        <w:t xml:space="preserve">, comunidades locales y, cuando corresponda, actores del sector privado, para </w:t>
      </w:r>
      <w:proofErr w:type="spellStart"/>
      <w:r w:rsidRPr="001A5A94">
        <w:rPr>
          <w:lang w:val="es-MX"/>
        </w:rPr>
        <w:t>co-crear</w:t>
      </w:r>
      <w:proofErr w:type="spellEnd"/>
      <w:r w:rsidRPr="001A5A94">
        <w:rPr>
          <w:lang w:val="es-MX"/>
        </w:rPr>
        <w:t xml:space="preserve"> análisis de problemas de conservación y desarrollar soluciones conjuntas. Esto reconoce que las acciones de conservación exitosas y sostenidas dependen de una buena coordinación entre múltiples actores, que aprovechan habilidades, experiencia, redes y autoridad complementarias. </w:t>
      </w:r>
      <w:proofErr w:type="spellStart"/>
      <w:r w:rsidRPr="001A5A94">
        <w:rPr>
          <w:lang w:val="es-MX"/>
        </w:rPr>
        <w:t>INTEC</w:t>
      </w:r>
      <w:proofErr w:type="spellEnd"/>
      <w:r w:rsidRPr="001A5A94">
        <w:rPr>
          <w:lang w:val="es-MX"/>
        </w:rPr>
        <w:t xml:space="preserve"> también apoyará a </w:t>
      </w:r>
      <w:proofErr w:type="spellStart"/>
      <w:r w:rsidRPr="001A5A94">
        <w:rPr>
          <w:lang w:val="es-MX"/>
        </w:rPr>
        <w:t>CANARI</w:t>
      </w:r>
      <w:proofErr w:type="spellEnd"/>
      <w:r w:rsidRPr="001A5A94">
        <w:rPr>
          <w:lang w:val="es-MX"/>
        </w:rPr>
        <w:t xml:space="preserve"> para replicar herramientas y lecciones aprendidas, para extender los esfuerzos de responsabilidad social a Bahamas, Haití y San Vicente y las Granadinas, que también son países prioritarios del </w:t>
      </w:r>
      <w:proofErr w:type="spellStart"/>
      <w:r w:rsidRPr="001A5A94">
        <w:rPr>
          <w:lang w:val="es-MX"/>
        </w:rPr>
        <w:t>CEPF</w:t>
      </w:r>
      <w:proofErr w:type="spellEnd"/>
      <w:r w:rsidRPr="001A5A94">
        <w:rPr>
          <w:lang w:val="es-MX"/>
        </w:rPr>
        <w:t xml:space="preserve"> en su fase de inversión actual.</w:t>
      </w:r>
    </w:p>
    <w:p w14:paraId="5ABCE4FC" w14:textId="70F17E31" w:rsidR="00084718" w:rsidRPr="001A5A94" w:rsidRDefault="00084718" w:rsidP="00B007AD">
      <w:pPr>
        <w:jc w:val="both"/>
        <w:rPr>
          <w:rFonts w:cstheme="minorHAnsi"/>
          <w:lang w:val="es-MX"/>
        </w:rPr>
      </w:pPr>
      <w:r w:rsidRPr="001A5A94">
        <w:rPr>
          <w:lang w:val="es-MX"/>
        </w:rPr>
        <w:t xml:space="preserve">La justificación del proyecto toma en consideración la teoría del cambio de la </w:t>
      </w:r>
      <w:proofErr w:type="spellStart"/>
      <w:r w:rsidRPr="001A5A94">
        <w:rPr>
          <w:lang w:val="es-MX"/>
        </w:rPr>
        <w:t>GPSA</w:t>
      </w:r>
      <w:proofErr w:type="spellEnd"/>
      <w:r w:rsidRPr="001A5A94">
        <w:rPr>
          <w:lang w:val="es-MX"/>
        </w:rPr>
        <w:t xml:space="preserve">, adaptada en este caso para enfocarse en el contexto de conservación de la biodiversidad del Caribe. Al involucrar a múltiples partes interesadas, la cooperación para aprovechar mejor el sistema de gestión y conservación de la biodiversidad existente (programas, políticas y espacios de toma de decisiones), el proyecto aborda los problemas de falta de gobernanza colaborativa y las capacidades necesarias para </w:t>
      </w:r>
      <w:r w:rsidR="00B007AD" w:rsidRPr="001A5A94">
        <w:rPr>
          <w:lang w:val="es-MX"/>
        </w:rPr>
        <w:t>ello</w:t>
      </w:r>
      <w:r w:rsidRPr="001A5A94">
        <w:rPr>
          <w:lang w:val="es-MX"/>
        </w:rPr>
        <w:t>. El proyecto combina (i) coaliciones lideradas por la sociedad civil para trabajar con el gobierno para resolver problemas que los actores locales han priorizado con (</w:t>
      </w:r>
      <w:proofErr w:type="spellStart"/>
      <w:r w:rsidRPr="001A5A94">
        <w:rPr>
          <w:lang w:val="es-MX"/>
        </w:rPr>
        <w:t>ii</w:t>
      </w:r>
      <w:proofErr w:type="spellEnd"/>
      <w:r w:rsidRPr="001A5A94">
        <w:rPr>
          <w:lang w:val="es-MX"/>
        </w:rPr>
        <w:t xml:space="preserve">) apoyo sostenido a compromisos significativos, </w:t>
      </w:r>
      <w:r w:rsidRPr="001A5A94">
        <w:rPr>
          <w:lang w:val="es-MX"/>
        </w:rPr>
        <w:lastRenderedPageBreak/>
        <w:t xml:space="preserve">incluido el apoyo a la implementación, el desarrollo de capacidades, la facilitación y la intermediación. El objetivo es contribuir a mejorar la conservación y gestión de la biodiversidad mediante mecanismos colaborativos de responsabilidad social que también aborden los obstáculos para mejorar la prestación de servicios </w:t>
      </w:r>
      <w:r w:rsidR="00B007AD" w:rsidRPr="001A5A94">
        <w:rPr>
          <w:lang w:val="es-MX"/>
        </w:rPr>
        <w:t>pertinente</w:t>
      </w:r>
      <w:r w:rsidRPr="001A5A94">
        <w:rPr>
          <w:lang w:val="es-MX"/>
        </w:rPr>
        <w:t>s.</w:t>
      </w:r>
    </w:p>
    <w:p w14:paraId="4D5E640A" w14:textId="3137B212" w:rsidR="00F06082" w:rsidRPr="001A5A94" w:rsidRDefault="00F06082" w:rsidP="00C961AA">
      <w:pPr>
        <w:pStyle w:val="Heading1"/>
        <w:jc w:val="both"/>
        <w:rPr>
          <w:rFonts w:cstheme="minorHAnsi"/>
          <w:lang w:val="es-MX"/>
        </w:rPr>
      </w:pPr>
      <w:r w:rsidRPr="001A5A94">
        <w:rPr>
          <w:rFonts w:cstheme="minorHAnsi"/>
          <w:bCs/>
          <w:u w:val="single"/>
          <w:lang w:val="es-MX"/>
        </w:rPr>
        <w:t>Riesgos para la salud y la seguridad de la comunidad</w:t>
      </w:r>
      <w:r w:rsidR="00CB6C83">
        <w:rPr>
          <w:rFonts w:cstheme="minorHAnsi"/>
          <w:bCs/>
          <w:u w:val="single"/>
          <w:lang w:val="es-MX"/>
        </w:rPr>
        <w:t>:</w:t>
      </w:r>
      <w:r w:rsidRPr="001A5A94">
        <w:rPr>
          <w:rFonts w:cstheme="minorHAnsi"/>
          <w:lang w:val="es-MX"/>
        </w:rPr>
        <w:t xml:space="preserve"> </w:t>
      </w:r>
    </w:p>
    <w:p w14:paraId="3CDB5C71" w14:textId="4676381D" w:rsidR="00084718" w:rsidRPr="001A5A94" w:rsidRDefault="00084718" w:rsidP="00C961AA">
      <w:pPr>
        <w:pStyle w:val="ListParagraph"/>
        <w:spacing w:after="0"/>
        <w:ind w:left="360"/>
        <w:jc w:val="both"/>
        <w:rPr>
          <w:rFonts w:cstheme="minorHAnsi"/>
          <w:b/>
          <w:bCs/>
          <w:u w:val="single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648"/>
        <w:gridCol w:w="1382"/>
        <w:gridCol w:w="1275"/>
      </w:tblGrid>
      <w:tr w:rsidR="00084718" w:rsidRPr="001A5A94" w14:paraId="6F47B926" w14:textId="77777777" w:rsidTr="001A5A94">
        <w:tc>
          <w:tcPr>
            <w:tcW w:w="4045" w:type="dxa"/>
          </w:tcPr>
          <w:p w14:paraId="5DA03130" w14:textId="77777777" w:rsidR="00084718" w:rsidRPr="001A5A94" w:rsidRDefault="00084718" w:rsidP="00C961AA">
            <w:pPr>
              <w:jc w:val="both"/>
              <w:rPr>
                <w:rFonts w:cstheme="minorHAnsi"/>
                <w:b/>
                <w:bCs/>
                <w:lang w:val="es-MX"/>
              </w:rPr>
            </w:pPr>
            <w:r w:rsidRPr="001A5A94">
              <w:rPr>
                <w:rFonts w:cstheme="minorHAnsi"/>
                <w:b/>
                <w:bCs/>
                <w:lang w:val="es-MX"/>
              </w:rPr>
              <w:t>Actividad</w:t>
            </w:r>
          </w:p>
        </w:tc>
        <w:tc>
          <w:tcPr>
            <w:tcW w:w="2648" w:type="dxa"/>
          </w:tcPr>
          <w:p w14:paraId="658BDCC5" w14:textId="77777777" w:rsidR="00084718" w:rsidRPr="001A5A94" w:rsidRDefault="00084718" w:rsidP="00C961AA">
            <w:pPr>
              <w:jc w:val="both"/>
              <w:rPr>
                <w:rFonts w:cstheme="minorHAnsi"/>
                <w:b/>
                <w:bCs/>
                <w:lang w:val="es-MX"/>
              </w:rPr>
            </w:pPr>
            <w:r w:rsidRPr="001A5A94">
              <w:rPr>
                <w:rFonts w:cstheme="minorHAnsi"/>
                <w:b/>
                <w:bCs/>
                <w:lang w:val="es-MX"/>
              </w:rPr>
              <w:t>Descripción del riesgo</w:t>
            </w:r>
          </w:p>
        </w:tc>
        <w:tc>
          <w:tcPr>
            <w:tcW w:w="1382" w:type="dxa"/>
          </w:tcPr>
          <w:p w14:paraId="41A165B5" w14:textId="16A02771" w:rsidR="00084718" w:rsidRPr="001A5A94" w:rsidRDefault="00B007AD" w:rsidP="00C961AA">
            <w:pPr>
              <w:jc w:val="both"/>
              <w:rPr>
                <w:rFonts w:cstheme="minorHAnsi"/>
                <w:b/>
                <w:bCs/>
                <w:lang w:val="es-MX"/>
              </w:rPr>
            </w:pPr>
            <w:r w:rsidRPr="001A5A94">
              <w:rPr>
                <w:rFonts w:cstheme="minorHAnsi"/>
                <w:b/>
                <w:bCs/>
                <w:lang w:val="es-MX"/>
              </w:rPr>
              <w:t>P</w:t>
            </w:r>
            <w:r w:rsidR="00084718" w:rsidRPr="001A5A94">
              <w:rPr>
                <w:rFonts w:cstheme="minorHAnsi"/>
                <w:b/>
                <w:bCs/>
                <w:lang w:val="es-MX"/>
              </w:rPr>
              <w:t>robabilidad de</w:t>
            </w:r>
            <w:r w:rsidR="001A5A94">
              <w:rPr>
                <w:rFonts w:cstheme="minorHAnsi"/>
                <w:b/>
                <w:bCs/>
                <w:lang w:val="es-MX"/>
              </w:rPr>
              <w:t>l</w:t>
            </w:r>
            <w:r w:rsidR="00084718" w:rsidRPr="001A5A94">
              <w:rPr>
                <w:rFonts w:cstheme="minorHAnsi"/>
                <w:b/>
                <w:bCs/>
                <w:lang w:val="es-MX"/>
              </w:rPr>
              <w:t xml:space="preserve"> riesgo</w:t>
            </w:r>
          </w:p>
        </w:tc>
        <w:tc>
          <w:tcPr>
            <w:tcW w:w="1275" w:type="dxa"/>
          </w:tcPr>
          <w:p w14:paraId="67C7990F" w14:textId="1827F84A" w:rsidR="00084718" w:rsidRPr="001A5A94" w:rsidRDefault="00084718" w:rsidP="00C961AA">
            <w:pPr>
              <w:jc w:val="both"/>
              <w:rPr>
                <w:rFonts w:cstheme="minorHAnsi"/>
                <w:b/>
                <w:bCs/>
                <w:lang w:val="es-MX"/>
              </w:rPr>
            </w:pPr>
            <w:r w:rsidRPr="001A5A94">
              <w:rPr>
                <w:rFonts w:cstheme="minorHAnsi"/>
                <w:b/>
                <w:bCs/>
                <w:lang w:val="es-MX"/>
              </w:rPr>
              <w:t>Calificación de</w:t>
            </w:r>
            <w:r w:rsidR="00B007AD" w:rsidRPr="001A5A94">
              <w:rPr>
                <w:rFonts w:cstheme="minorHAnsi"/>
                <w:b/>
                <w:bCs/>
                <w:lang w:val="es-MX"/>
              </w:rPr>
              <w:t>l</w:t>
            </w:r>
            <w:r w:rsidRPr="001A5A94">
              <w:rPr>
                <w:rFonts w:cstheme="minorHAnsi"/>
                <w:b/>
                <w:bCs/>
                <w:lang w:val="es-MX"/>
              </w:rPr>
              <w:t xml:space="preserve"> riesgo</w:t>
            </w:r>
          </w:p>
        </w:tc>
      </w:tr>
      <w:tr w:rsidR="00084718" w:rsidRPr="001A5A94" w14:paraId="11E10133" w14:textId="77777777" w:rsidTr="00456455">
        <w:tc>
          <w:tcPr>
            <w:tcW w:w="9350" w:type="dxa"/>
            <w:gridSpan w:val="4"/>
            <w:shd w:val="clear" w:color="auto" w:fill="FFFFFF" w:themeFill="background1"/>
          </w:tcPr>
          <w:p w14:paraId="2D96EBCE" w14:textId="7B3AA057" w:rsidR="00084718" w:rsidRPr="001A5A94" w:rsidRDefault="00554F7A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b/>
                <w:bCs/>
                <w:lang w:val="es-MX"/>
              </w:rPr>
              <w:t xml:space="preserve">Componentes 1 y 4: Fortalecimiento de capacidades para la responsabilidad social colaborativa en </w:t>
            </w:r>
            <w:r w:rsidR="00B007AD" w:rsidRPr="001A5A94">
              <w:rPr>
                <w:b/>
                <w:bCs/>
                <w:lang w:val="es-MX"/>
              </w:rPr>
              <w:t>R</w:t>
            </w:r>
            <w:r w:rsidRPr="001A5A94">
              <w:rPr>
                <w:b/>
                <w:bCs/>
                <w:lang w:val="es-MX"/>
              </w:rPr>
              <w:t xml:space="preserve">D y JA/AB y </w:t>
            </w:r>
            <w:proofErr w:type="spellStart"/>
            <w:r w:rsidRPr="001A5A94">
              <w:rPr>
                <w:b/>
                <w:bCs/>
                <w:lang w:val="es-MX"/>
              </w:rPr>
              <w:t>SLU</w:t>
            </w:r>
            <w:proofErr w:type="spellEnd"/>
            <w:r w:rsidRPr="001A5A94">
              <w:rPr>
                <w:b/>
                <w:bCs/>
                <w:lang w:val="es-MX"/>
              </w:rPr>
              <w:t>, respectivamente.</w:t>
            </w:r>
          </w:p>
        </w:tc>
      </w:tr>
      <w:tr w:rsidR="00084718" w:rsidRPr="001A5A94" w14:paraId="4EFC65C2" w14:textId="77777777" w:rsidTr="001A5A94">
        <w:tc>
          <w:tcPr>
            <w:tcW w:w="4045" w:type="dxa"/>
          </w:tcPr>
          <w:p w14:paraId="7FF7C050" w14:textId="01A9ED41" w:rsidR="00084718" w:rsidRPr="001A5A94" w:rsidRDefault="00554F7A" w:rsidP="00C961AA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MX"/>
              </w:rPr>
            </w:pPr>
            <w:proofErr w:type="spellStart"/>
            <w:r w:rsidRPr="001A5A94">
              <w:rPr>
                <w:rFonts w:eastAsia="Calibri"/>
                <w:lang w:val="es-MX"/>
              </w:rPr>
              <w:t>INTEC</w:t>
            </w:r>
            <w:proofErr w:type="spellEnd"/>
            <w:r w:rsidRPr="001A5A94">
              <w:rPr>
                <w:rFonts w:eastAsia="Calibri"/>
                <w:lang w:val="es-MX"/>
              </w:rPr>
              <w:t xml:space="preserve"> y la </w:t>
            </w:r>
            <w:proofErr w:type="spellStart"/>
            <w:r w:rsidRPr="001A5A94">
              <w:rPr>
                <w:rFonts w:eastAsia="Calibri"/>
                <w:lang w:val="es-MX"/>
              </w:rPr>
              <w:t>OHI</w:t>
            </w:r>
            <w:proofErr w:type="spellEnd"/>
            <w:r w:rsidRPr="001A5A94">
              <w:rPr>
                <w:rFonts w:eastAsia="Calibri"/>
                <w:lang w:val="es-MX"/>
              </w:rPr>
              <w:t xml:space="preserve"> emprenderán el desarrollo y la prueba piloto de un programa de desarrollo de capacidades (D</w:t>
            </w:r>
            <w:r w:rsidR="00B007AD" w:rsidRPr="001A5A94">
              <w:rPr>
                <w:rFonts w:eastAsia="Calibri"/>
                <w:lang w:val="es-MX"/>
              </w:rPr>
              <w:t>C</w:t>
            </w:r>
            <w:r w:rsidRPr="001A5A94">
              <w:rPr>
                <w:rFonts w:eastAsia="Calibri"/>
                <w:lang w:val="es-MX"/>
              </w:rPr>
              <w:t>); el programa de D</w:t>
            </w:r>
            <w:r w:rsidR="00B007AD" w:rsidRPr="001A5A94">
              <w:rPr>
                <w:rFonts w:eastAsia="Calibri"/>
                <w:lang w:val="es-MX"/>
              </w:rPr>
              <w:t>C</w:t>
            </w:r>
            <w:r w:rsidRPr="001A5A94">
              <w:rPr>
                <w:rFonts w:eastAsia="Calibri"/>
                <w:lang w:val="es-MX"/>
              </w:rPr>
              <w:t xml:space="preserve"> se mejorará año tras año con base en los resultados de la evaluación del año anterior.</w:t>
            </w:r>
          </w:p>
        </w:tc>
        <w:tc>
          <w:tcPr>
            <w:tcW w:w="2648" w:type="dxa"/>
          </w:tcPr>
          <w:p w14:paraId="5E99C581" w14:textId="3C8BF4E9" w:rsidR="00084718" w:rsidRPr="001A5A94" w:rsidRDefault="00B007AD" w:rsidP="00B007AD">
            <w:pPr>
              <w:rPr>
                <w:lang w:val="es-MX"/>
              </w:rPr>
            </w:pPr>
            <w:r w:rsidRPr="001A5A94">
              <w:rPr>
                <w:lang w:val="es-MX"/>
              </w:rPr>
              <w:t>Propagac</w:t>
            </w:r>
            <w:r w:rsidR="00084718" w:rsidRPr="001A5A94">
              <w:rPr>
                <w:lang w:val="es-MX"/>
              </w:rPr>
              <w:t>ión de enfermedades transmisibles, particularmente COVID-19, a los actores locales.</w:t>
            </w:r>
          </w:p>
          <w:p w14:paraId="4C3ADD39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0945BB1D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 xml:space="preserve">Riesgos relacionados con </w:t>
            </w:r>
            <w:r w:rsidRPr="001A5A94">
              <w:rPr>
                <w:lang w:val="es-MX"/>
              </w:rPr>
              <w:t>huracanes, terremotos y otros desastres naturales.</w:t>
            </w:r>
          </w:p>
        </w:tc>
        <w:tc>
          <w:tcPr>
            <w:tcW w:w="1382" w:type="dxa"/>
          </w:tcPr>
          <w:p w14:paraId="5327EE1F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Alto</w:t>
            </w:r>
          </w:p>
          <w:p w14:paraId="3DE70A02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6377B409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700A96E0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614AF7F9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1417FB2E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Alto</w:t>
            </w:r>
          </w:p>
        </w:tc>
        <w:tc>
          <w:tcPr>
            <w:tcW w:w="1275" w:type="dxa"/>
          </w:tcPr>
          <w:p w14:paraId="770BC084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Alto</w:t>
            </w:r>
          </w:p>
          <w:p w14:paraId="18E5799F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3677915E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23E9A9F9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562A858E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38527918" w14:textId="427C0171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Sustancial - Alto</w:t>
            </w:r>
          </w:p>
        </w:tc>
      </w:tr>
      <w:tr w:rsidR="00084718" w:rsidRPr="001A5A94" w14:paraId="51B87487" w14:textId="77777777" w:rsidTr="00456455">
        <w:trPr>
          <w:trHeight w:val="583"/>
        </w:trPr>
        <w:tc>
          <w:tcPr>
            <w:tcW w:w="9350" w:type="dxa"/>
            <w:gridSpan w:val="4"/>
          </w:tcPr>
          <w:p w14:paraId="6A8D81C6" w14:textId="63BEAFA2" w:rsidR="00084718" w:rsidRPr="001A5A94" w:rsidRDefault="00554F7A" w:rsidP="00C961AA">
            <w:pPr>
              <w:jc w:val="both"/>
              <w:rPr>
                <w:rFonts w:cstheme="minorHAnsi"/>
                <w:b/>
                <w:bCs/>
                <w:i/>
                <w:iCs/>
                <w:lang w:val="es-MX"/>
              </w:rPr>
            </w:pPr>
            <w:r w:rsidRPr="001A5A94">
              <w:rPr>
                <w:rFonts w:eastAsia="Calibri"/>
                <w:b/>
                <w:bCs/>
                <w:lang w:val="es-MX"/>
              </w:rPr>
              <w:t xml:space="preserve">Componentes 2 y 5: Implementación de mecanismos de responsabilidad social </w:t>
            </w:r>
            <w:r w:rsidR="00464512" w:rsidRPr="001A5A94">
              <w:rPr>
                <w:rFonts w:eastAsia="Calibri"/>
                <w:b/>
                <w:bCs/>
                <w:lang w:val="es-MX"/>
              </w:rPr>
              <w:t>colaborativ</w:t>
            </w:r>
            <w:r w:rsidR="00464512">
              <w:rPr>
                <w:rFonts w:eastAsia="Calibri"/>
                <w:b/>
                <w:bCs/>
                <w:lang w:val="es-MX"/>
              </w:rPr>
              <w:t xml:space="preserve">a </w:t>
            </w:r>
            <w:r w:rsidRPr="001A5A94">
              <w:rPr>
                <w:rFonts w:eastAsia="Calibri"/>
                <w:b/>
                <w:bCs/>
                <w:lang w:val="es-MX"/>
              </w:rPr>
              <w:t>(</w:t>
            </w:r>
            <w:proofErr w:type="spellStart"/>
            <w:r w:rsidR="00B007AD" w:rsidRPr="001A5A94">
              <w:rPr>
                <w:rFonts w:eastAsia="Calibri"/>
                <w:b/>
                <w:bCs/>
                <w:lang w:val="es-MX"/>
              </w:rPr>
              <w:t>RS</w:t>
            </w:r>
            <w:r w:rsidRPr="001A5A94">
              <w:rPr>
                <w:rFonts w:eastAsia="Calibri"/>
                <w:b/>
                <w:bCs/>
                <w:lang w:val="es-MX"/>
              </w:rPr>
              <w:t>C</w:t>
            </w:r>
            <w:proofErr w:type="spellEnd"/>
            <w:r w:rsidRPr="001A5A94">
              <w:rPr>
                <w:rFonts w:eastAsia="Calibri"/>
                <w:b/>
                <w:bCs/>
                <w:lang w:val="es-MX"/>
              </w:rPr>
              <w:t xml:space="preserve">) para mejorar la conservación de la biodiversidad y el monitoreo de puntos críticos en </w:t>
            </w:r>
            <w:r w:rsidR="00B007AD" w:rsidRPr="001A5A94">
              <w:rPr>
                <w:rFonts w:eastAsia="Calibri"/>
                <w:b/>
                <w:bCs/>
                <w:lang w:val="es-MX"/>
              </w:rPr>
              <w:t>R</w:t>
            </w:r>
            <w:r w:rsidRPr="001A5A94">
              <w:rPr>
                <w:rFonts w:eastAsia="Calibri"/>
                <w:b/>
                <w:bCs/>
                <w:lang w:val="es-MX"/>
              </w:rPr>
              <w:t xml:space="preserve">D y JA/AB y </w:t>
            </w:r>
            <w:proofErr w:type="spellStart"/>
            <w:r w:rsidRPr="001A5A94">
              <w:rPr>
                <w:rFonts w:eastAsia="Calibri"/>
                <w:b/>
                <w:bCs/>
                <w:lang w:val="es-MX"/>
              </w:rPr>
              <w:t>SLU</w:t>
            </w:r>
            <w:proofErr w:type="spellEnd"/>
            <w:r w:rsidRPr="001A5A94">
              <w:rPr>
                <w:rFonts w:eastAsia="Calibri"/>
                <w:b/>
                <w:bCs/>
                <w:lang w:val="es-MX"/>
              </w:rPr>
              <w:t>, respectivamente.</w:t>
            </w:r>
          </w:p>
        </w:tc>
      </w:tr>
      <w:tr w:rsidR="00084718" w:rsidRPr="001A5A94" w14:paraId="1E7885EA" w14:textId="77777777" w:rsidTr="001A5A94">
        <w:tc>
          <w:tcPr>
            <w:tcW w:w="4045" w:type="dxa"/>
          </w:tcPr>
          <w:p w14:paraId="2C5B3297" w14:textId="058F4F3A" w:rsidR="00084718" w:rsidRPr="001A5A94" w:rsidRDefault="00554F7A" w:rsidP="00C961AA">
            <w:pPr>
              <w:jc w:val="both"/>
              <w:rPr>
                <w:rFonts w:cstheme="minorHAnsi"/>
                <w:lang w:val="es-MX"/>
              </w:rPr>
            </w:pPr>
            <w:proofErr w:type="spellStart"/>
            <w:r w:rsidRPr="001A5A94">
              <w:rPr>
                <w:rFonts w:eastAsia="Calibri"/>
                <w:lang w:val="es-MX"/>
              </w:rPr>
              <w:t>INTEC</w:t>
            </w:r>
            <w:proofErr w:type="spellEnd"/>
            <w:r w:rsidRPr="001A5A94">
              <w:rPr>
                <w:rFonts w:eastAsia="Calibri"/>
                <w:lang w:val="es-MX"/>
              </w:rPr>
              <w:t xml:space="preserve"> y la </w:t>
            </w:r>
            <w:proofErr w:type="spellStart"/>
            <w:r w:rsidRPr="001A5A94">
              <w:rPr>
                <w:rFonts w:eastAsia="Calibri"/>
                <w:lang w:val="es-MX"/>
              </w:rPr>
              <w:t>OHI</w:t>
            </w:r>
            <w:proofErr w:type="spellEnd"/>
            <w:r w:rsidRPr="001A5A94">
              <w:rPr>
                <w:rFonts w:eastAsia="Calibri"/>
                <w:lang w:val="es-MX"/>
              </w:rPr>
              <w:t xml:space="preserve"> establecerán acuerdos de colaboración no vinculantes con contrapartes gubernamentales para integrar los valores de la biodiversidad, la resiliencia climática y la retroalimentación de los ciudadanos en la planificación nacional y local y mejorarán el monitoreo de las </w:t>
            </w:r>
            <w:proofErr w:type="spellStart"/>
            <w:r w:rsidRPr="001A5A94">
              <w:rPr>
                <w:rFonts w:eastAsia="Calibri"/>
                <w:lang w:val="es-MX"/>
              </w:rPr>
              <w:t>KBA</w:t>
            </w:r>
            <w:proofErr w:type="spellEnd"/>
            <w:r w:rsidRPr="001A5A94">
              <w:rPr>
                <w:rFonts w:eastAsia="Calibri"/>
                <w:lang w:val="es-MX"/>
              </w:rPr>
              <w:t xml:space="preserve"> mediante la creación de mecanismos participativos nuevos o el fortalecimiento de los existentes para la resolución colaborativa de problemas, destacando el intercambio de información</w:t>
            </w:r>
            <w:r w:rsidR="001A5A94" w:rsidRPr="001A5A94">
              <w:rPr>
                <w:rFonts w:eastAsia="Calibri"/>
                <w:lang w:val="es-MX"/>
              </w:rPr>
              <w:t>,</w:t>
            </w:r>
            <w:r w:rsidRPr="001A5A94">
              <w:rPr>
                <w:rFonts w:eastAsia="Calibri"/>
                <w:lang w:val="es-MX"/>
              </w:rPr>
              <w:t xml:space="preserve"> compromisos mutuos y acciones conjuntas.</w:t>
            </w:r>
          </w:p>
        </w:tc>
        <w:tc>
          <w:tcPr>
            <w:tcW w:w="2648" w:type="dxa"/>
          </w:tcPr>
          <w:p w14:paraId="4ACEEE7C" w14:textId="2BFC9A47" w:rsidR="00554F7A" w:rsidRPr="001A5A94" w:rsidRDefault="001A5A94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Propagación</w:t>
            </w:r>
            <w:r w:rsidR="00554F7A" w:rsidRPr="001A5A94">
              <w:rPr>
                <w:lang w:val="es-MX"/>
              </w:rPr>
              <w:t xml:space="preserve"> de enfermedades transmisibles, particularmente COVID-19, a los actores locales.</w:t>
            </w:r>
          </w:p>
          <w:p w14:paraId="7F9FD78C" w14:textId="77777777" w:rsidR="00554F7A" w:rsidRPr="001A5A94" w:rsidRDefault="00554F7A" w:rsidP="00C961AA">
            <w:pPr>
              <w:jc w:val="both"/>
              <w:rPr>
                <w:rFonts w:cstheme="minorHAnsi"/>
                <w:lang w:val="es-MX"/>
              </w:rPr>
            </w:pPr>
          </w:p>
          <w:p w14:paraId="5DA196FB" w14:textId="321D0128" w:rsidR="00084718" w:rsidRPr="001A5A94" w:rsidRDefault="00554F7A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 xml:space="preserve">Riesgos relacionados con </w:t>
            </w:r>
            <w:r w:rsidRPr="001A5A94">
              <w:rPr>
                <w:lang w:val="es-MX"/>
              </w:rPr>
              <w:t>huracanes, terremotos y otros desastres naturales.</w:t>
            </w:r>
          </w:p>
        </w:tc>
        <w:tc>
          <w:tcPr>
            <w:tcW w:w="1382" w:type="dxa"/>
          </w:tcPr>
          <w:p w14:paraId="1B2A0236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Alto</w:t>
            </w:r>
          </w:p>
          <w:p w14:paraId="35A3A217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618E2957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25D4D868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717ED389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29863318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Alto</w:t>
            </w:r>
          </w:p>
        </w:tc>
        <w:tc>
          <w:tcPr>
            <w:tcW w:w="1275" w:type="dxa"/>
          </w:tcPr>
          <w:p w14:paraId="1C62F12B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Alto</w:t>
            </w:r>
          </w:p>
          <w:p w14:paraId="1ACAC31C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6FABBD65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2A8DBCAF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1A8C5C1E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15B6BCDF" w14:textId="5DED42F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Sustancial - Alto</w:t>
            </w:r>
          </w:p>
        </w:tc>
      </w:tr>
      <w:tr w:rsidR="00084718" w:rsidRPr="001A5A94" w14:paraId="35ECD601" w14:textId="77777777" w:rsidTr="00456455">
        <w:tc>
          <w:tcPr>
            <w:tcW w:w="9350" w:type="dxa"/>
            <w:gridSpan w:val="4"/>
          </w:tcPr>
          <w:p w14:paraId="10B61FC0" w14:textId="4D499B03" w:rsidR="00084718" w:rsidRPr="001A5A94" w:rsidRDefault="00554F7A" w:rsidP="00C961AA">
            <w:pPr>
              <w:jc w:val="both"/>
              <w:rPr>
                <w:rFonts w:cstheme="minorHAnsi"/>
                <w:b/>
                <w:bCs/>
                <w:i/>
                <w:iCs/>
                <w:lang w:val="es-MX"/>
              </w:rPr>
            </w:pPr>
            <w:r w:rsidRPr="001A5A94">
              <w:rPr>
                <w:rFonts w:eastAsia="Calibri"/>
                <w:b/>
                <w:bCs/>
                <w:lang w:val="es-MX"/>
              </w:rPr>
              <w:t xml:space="preserve">Componente 3 y 6: Mejorar el conocimiento y el aprendizaje sobre responsabilidad social en el sector de conservación de la biodiversidad del Caribe para el proyecto en general/AB y </w:t>
            </w:r>
            <w:proofErr w:type="spellStart"/>
            <w:r w:rsidRPr="001A5A94">
              <w:rPr>
                <w:rFonts w:eastAsia="Calibri"/>
                <w:b/>
                <w:bCs/>
                <w:lang w:val="es-MX"/>
              </w:rPr>
              <w:t>SLU</w:t>
            </w:r>
            <w:proofErr w:type="spellEnd"/>
            <w:r w:rsidRPr="001A5A94">
              <w:rPr>
                <w:rFonts w:eastAsia="Calibri"/>
                <w:b/>
                <w:bCs/>
                <w:lang w:val="es-MX"/>
              </w:rPr>
              <w:t>, respectivamente.</w:t>
            </w:r>
          </w:p>
        </w:tc>
      </w:tr>
      <w:tr w:rsidR="00084718" w:rsidRPr="001A5A94" w14:paraId="0C5CFFAD" w14:textId="77777777" w:rsidTr="001A5A94">
        <w:tc>
          <w:tcPr>
            <w:tcW w:w="4045" w:type="dxa"/>
          </w:tcPr>
          <w:p w14:paraId="59DAA241" w14:textId="4BE5B87A" w:rsidR="00084718" w:rsidRPr="001A5A94" w:rsidRDefault="00554F7A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eastAsia="Calibri"/>
                <w:lang w:val="es-MX"/>
              </w:rPr>
              <w:t xml:space="preserve">Establecer un sistema de seguimiento, evaluación y aprendizaje para el proyecto que cubra los marcos de resultados de </w:t>
            </w:r>
            <w:proofErr w:type="spellStart"/>
            <w:r w:rsidRPr="001A5A94">
              <w:rPr>
                <w:rFonts w:eastAsia="Calibri"/>
                <w:lang w:val="es-MX"/>
              </w:rPr>
              <w:t>GPSA</w:t>
            </w:r>
            <w:proofErr w:type="spellEnd"/>
            <w:r w:rsidRPr="001A5A94">
              <w:rPr>
                <w:rFonts w:eastAsia="Calibri"/>
                <w:lang w:val="es-MX"/>
              </w:rPr>
              <w:t xml:space="preserve"> y </w:t>
            </w:r>
            <w:proofErr w:type="spellStart"/>
            <w:r w:rsidRPr="001A5A94">
              <w:rPr>
                <w:rFonts w:eastAsia="Calibri"/>
                <w:lang w:val="es-MX"/>
              </w:rPr>
              <w:t>CEPF</w:t>
            </w:r>
            <w:proofErr w:type="spellEnd"/>
            <w:r w:rsidRPr="001A5A94">
              <w:rPr>
                <w:rFonts w:eastAsia="Calibri"/>
                <w:lang w:val="es-MX"/>
              </w:rPr>
              <w:t>.</w:t>
            </w:r>
          </w:p>
        </w:tc>
        <w:tc>
          <w:tcPr>
            <w:tcW w:w="2648" w:type="dxa"/>
          </w:tcPr>
          <w:p w14:paraId="3F2747F1" w14:textId="5879B71B" w:rsidR="00554F7A" w:rsidRPr="001A5A94" w:rsidRDefault="001A5A94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Propagación</w:t>
            </w:r>
            <w:r w:rsidR="00554F7A" w:rsidRPr="001A5A94">
              <w:rPr>
                <w:lang w:val="es-MX"/>
              </w:rPr>
              <w:t xml:space="preserve"> de enfermedades transmisibles, particularmente COVID-19, a los actores locales.</w:t>
            </w:r>
          </w:p>
          <w:p w14:paraId="60FFC157" w14:textId="77777777" w:rsidR="00554F7A" w:rsidRPr="001A5A94" w:rsidRDefault="00554F7A" w:rsidP="00C961AA">
            <w:pPr>
              <w:jc w:val="both"/>
              <w:rPr>
                <w:rFonts w:cstheme="minorHAnsi"/>
                <w:lang w:val="es-MX"/>
              </w:rPr>
            </w:pPr>
          </w:p>
          <w:p w14:paraId="62B6B6FB" w14:textId="4EA909CF" w:rsidR="00084718" w:rsidRPr="001A5A94" w:rsidRDefault="00554F7A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lastRenderedPageBreak/>
              <w:t xml:space="preserve">Riesgos relacionados con </w:t>
            </w:r>
            <w:r w:rsidRPr="001A5A94">
              <w:rPr>
                <w:lang w:val="es-MX"/>
              </w:rPr>
              <w:t>huracanes, terremotos y otros desastres naturales.</w:t>
            </w:r>
          </w:p>
        </w:tc>
        <w:tc>
          <w:tcPr>
            <w:tcW w:w="1382" w:type="dxa"/>
          </w:tcPr>
          <w:p w14:paraId="1696B685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lastRenderedPageBreak/>
              <w:t>Alto</w:t>
            </w:r>
          </w:p>
          <w:p w14:paraId="2EE4BF0B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6DD17089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16D726BE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Alto</w:t>
            </w:r>
          </w:p>
        </w:tc>
        <w:tc>
          <w:tcPr>
            <w:tcW w:w="1275" w:type="dxa"/>
          </w:tcPr>
          <w:p w14:paraId="56F5FAF3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Alto</w:t>
            </w:r>
          </w:p>
          <w:p w14:paraId="35A91166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4EB45D69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</w:p>
          <w:p w14:paraId="78706EF1" w14:textId="77777777" w:rsidR="00084718" w:rsidRPr="001A5A94" w:rsidRDefault="00084718" w:rsidP="00C961AA">
            <w:pPr>
              <w:jc w:val="both"/>
              <w:rPr>
                <w:rFonts w:cstheme="minorHAnsi"/>
                <w:lang w:val="es-MX"/>
              </w:rPr>
            </w:pPr>
            <w:r w:rsidRPr="001A5A94">
              <w:rPr>
                <w:rFonts w:cstheme="minorHAnsi"/>
                <w:lang w:val="es-MX"/>
              </w:rPr>
              <w:t>Alto</w:t>
            </w:r>
          </w:p>
        </w:tc>
      </w:tr>
    </w:tbl>
    <w:p w14:paraId="40537AF0" w14:textId="77777777" w:rsidR="00084718" w:rsidRPr="001A5A94" w:rsidRDefault="00084718" w:rsidP="00C961AA">
      <w:pPr>
        <w:pStyle w:val="ListParagraph"/>
        <w:spacing w:after="0"/>
        <w:ind w:left="360"/>
        <w:jc w:val="both"/>
        <w:rPr>
          <w:rFonts w:cstheme="minorHAnsi"/>
          <w:lang w:val="es-MX"/>
        </w:rPr>
      </w:pPr>
    </w:p>
    <w:p w14:paraId="3930A06F" w14:textId="575E1363" w:rsidR="00F06082" w:rsidRPr="001A5A94" w:rsidRDefault="00F06082" w:rsidP="00C961AA">
      <w:pPr>
        <w:pStyle w:val="Heading1"/>
        <w:jc w:val="both"/>
        <w:rPr>
          <w:rFonts w:cstheme="minorHAnsi"/>
          <w:lang w:val="es-MX"/>
        </w:rPr>
      </w:pPr>
      <w:r w:rsidRPr="001A5A94">
        <w:rPr>
          <w:rFonts w:cstheme="minorHAnsi"/>
          <w:bCs/>
          <w:u w:val="single"/>
          <w:lang w:val="es-MX"/>
        </w:rPr>
        <w:t>Medidas de mitigación de riesgos</w:t>
      </w:r>
      <w:r w:rsidRPr="001A5A94">
        <w:rPr>
          <w:rFonts w:cstheme="minorHAnsi"/>
          <w:bCs/>
          <w:lang w:val="es-MX"/>
        </w:rPr>
        <w:t>:</w:t>
      </w:r>
      <w:r w:rsidRPr="001A5A94">
        <w:rPr>
          <w:rFonts w:cstheme="minorHAnsi"/>
          <w:lang w:val="es-MX"/>
        </w:rPr>
        <w:t xml:space="preserve"> </w:t>
      </w:r>
    </w:p>
    <w:p w14:paraId="3A0DD067" w14:textId="4651C34E" w:rsidR="00554F7A" w:rsidRPr="001A5A94" w:rsidRDefault="00554F7A" w:rsidP="00C961AA">
      <w:pPr>
        <w:spacing w:after="0"/>
        <w:jc w:val="both"/>
        <w:rPr>
          <w:rFonts w:cstheme="minorHAnsi"/>
          <w:lang w:val="es-MX"/>
        </w:rPr>
      </w:pPr>
    </w:p>
    <w:p w14:paraId="28D93F0E" w14:textId="1C5FB34C" w:rsidR="00554F7A" w:rsidRPr="001A5A94" w:rsidRDefault="00554F7A" w:rsidP="00C961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s-MX"/>
        </w:rPr>
      </w:pPr>
      <w:r w:rsidRPr="001A5A94">
        <w:rPr>
          <w:rFonts w:cstheme="minorHAnsi"/>
          <w:lang w:val="es-MX"/>
        </w:rPr>
        <w:t xml:space="preserve">El trabajo del </w:t>
      </w:r>
      <w:proofErr w:type="spellStart"/>
      <w:r w:rsidRPr="001A5A94">
        <w:rPr>
          <w:rFonts w:cstheme="minorHAnsi"/>
          <w:lang w:val="es-MX"/>
        </w:rPr>
        <w:t>INTEC</w:t>
      </w:r>
      <w:proofErr w:type="spellEnd"/>
      <w:r w:rsidRPr="001A5A94">
        <w:rPr>
          <w:rFonts w:cstheme="minorHAnsi"/>
          <w:lang w:val="es-MX"/>
        </w:rPr>
        <w:t xml:space="preserve"> y </w:t>
      </w:r>
      <w:proofErr w:type="spellStart"/>
      <w:r w:rsidRPr="001A5A94">
        <w:rPr>
          <w:rFonts w:cstheme="minorHAnsi"/>
          <w:lang w:val="es-MX"/>
        </w:rPr>
        <w:t>OHI</w:t>
      </w:r>
      <w:proofErr w:type="spellEnd"/>
      <w:r w:rsidRPr="001A5A94">
        <w:rPr>
          <w:rFonts w:cstheme="minorHAnsi"/>
          <w:lang w:val="es-MX"/>
        </w:rPr>
        <w:t xml:space="preserve"> (el </w:t>
      </w:r>
      <w:proofErr w:type="spellStart"/>
      <w:r w:rsidRPr="001A5A94">
        <w:rPr>
          <w:rFonts w:cstheme="minorHAnsi"/>
          <w:lang w:val="es-MX"/>
        </w:rPr>
        <w:t>CSAT</w:t>
      </w:r>
      <w:proofErr w:type="spellEnd"/>
      <w:r w:rsidRPr="001A5A94">
        <w:rPr>
          <w:rFonts w:cstheme="minorHAnsi"/>
          <w:lang w:val="es-MX"/>
        </w:rPr>
        <w:t xml:space="preserve">) se llevará a cabo de forma virtual y presencial durante los cuatro años en la República Dominicana y Antigua y Barbuda. En los años 2 a 4, los consultores contratados en Jamaica y Santa </w:t>
      </w:r>
      <w:r w:rsidR="009D38C1" w:rsidRPr="001A5A94">
        <w:rPr>
          <w:rFonts w:cstheme="minorHAnsi"/>
          <w:lang w:val="es-MX"/>
        </w:rPr>
        <w:t xml:space="preserve">Lucía también participarán de forma virtual y presencial. Las reuniones cara a cara seguirán las pautas nacionales y las regulaciones relacionadas con COVID. </w:t>
      </w:r>
      <w:r w:rsidRPr="001A5A94">
        <w:rPr>
          <w:rFonts w:cstheme="minorHAnsi"/>
          <w:lang w:val="es-MX"/>
        </w:rPr>
        <w:t xml:space="preserve">A lo largo del proyecto, las regulaciones y pautas específicas de cada país relacionadas con COVID-19 se actualizarán con frecuencia. El </w:t>
      </w:r>
      <w:proofErr w:type="spellStart"/>
      <w:r w:rsidRPr="001A5A94">
        <w:rPr>
          <w:rFonts w:cstheme="minorHAnsi"/>
          <w:lang w:val="es-MX"/>
        </w:rPr>
        <w:t>CSAT</w:t>
      </w:r>
      <w:proofErr w:type="spellEnd"/>
      <w:r w:rsidRPr="001A5A94">
        <w:rPr>
          <w:rFonts w:cstheme="minorHAnsi"/>
          <w:lang w:val="es-MX"/>
        </w:rPr>
        <w:t xml:space="preserve"> trabajará en estrecha colaboración con la Secretaría del </w:t>
      </w:r>
      <w:proofErr w:type="spellStart"/>
      <w:r w:rsidRPr="001A5A94">
        <w:rPr>
          <w:rFonts w:cstheme="minorHAnsi"/>
          <w:lang w:val="es-MX"/>
        </w:rPr>
        <w:t>CEPF</w:t>
      </w:r>
      <w:proofErr w:type="spellEnd"/>
      <w:r w:rsidRPr="001A5A94">
        <w:rPr>
          <w:rFonts w:cstheme="minorHAnsi"/>
          <w:lang w:val="es-MX"/>
        </w:rPr>
        <w:t xml:space="preserve">, el </w:t>
      </w:r>
      <w:proofErr w:type="spellStart"/>
      <w:r w:rsidRPr="001A5A94">
        <w:rPr>
          <w:rFonts w:cstheme="minorHAnsi"/>
          <w:lang w:val="es-MX"/>
        </w:rPr>
        <w:t>RIT</w:t>
      </w:r>
      <w:proofErr w:type="spellEnd"/>
      <w:r w:rsidRPr="001A5A94">
        <w:rPr>
          <w:rFonts w:cstheme="minorHAnsi"/>
          <w:lang w:val="es-MX"/>
        </w:rPr>
        <w:t xml:space="preserve"> y los consultores en el país para tomar decisiones que pongan la salud y la seguridad de todos como la máxima prioridad. El </w:t>
      </w:r>
      <w:proofErr w:type="spellStart"/>
      <w:r w:rsidRPr="001A5A94">
        <w:rPr>
          <w:rFonts w:cstheme="minorHAnsi"/>
          <w:lang w:val="es-MX"/>
        </w:rPr>
        <w:t>CSAT</w:t>
      </w:r>
      <w:proofErr w:type="spellEnd"/>
      <w:r w:rsidRPr="001A5A94">
        <w:rPr>
          <w:rFonts w:cstheme="minorHAnsi"/>
          <w:lang w:val="es-MX"/>
        </w:rPr>
        <w:t xml:space="preserve"> también trabajará dentro de la guía emitida por el Banco Mundial sobre la realización de reuniones públicas y la participación de las partes interesadas como se describe en el </w:t>
      </w:r>
      <w:proofErr w:type="spellStart"/>
      <w:r w:rsidRPr="001A5A94">
        <w:rPr>
          <w:rFonts w:cstheme="minorHAnsi"/>
          <w:lang w:val="es-MX"/>
        </w:rPr>
        <w:t>ESMF</w:t>
      </w:r>
      <w:proofErr w:type="spellEnd"/>
      <w:r w:rsidRPr="001A5A94">
        <w:rPr>
          <w:rFonts w:cstheme="minorHAnsi"/>
          <w:lang w:val="es-MX"/>
        </w:rPr>
        <w:t>.</w:t>
      </w:r>
    </w:p>
    <w:p w14:paraId="3154BE66" w14:textId="77777777" w:rsidR="00554F7A" w:rsidRPr="001A5A94" w:rsidRDefault="00554F7A" w:rsidP="00C961AA">
      <w:pPr>
        <w:spacing w:after="0"/>
        <w:jc w:val="both"/>
        <w:rPr>
          <w:lang w:val="es-MX"/>
        </w:rPr>
      </w:pPr>
    </w:p>
    <w:p w14:paraId="1B191F61" w14:textId="7292227D" w:rsidR="00554F7A" w:rsidRPr="001A5A94" w:rsidRDefault="00554F7A" w:rsidP="00C961AA">
      <w:pPr>
        <w:spacing w:after="0"/>
        <w:jc w:val="both"/>
        <w:rPr>
          <w:lang w:val="es-MX"/>
        </w:rPr>
      </w:pPr>
      <w:r w:rsidRPr="001A5A94">
        <w:rPr>
          <w:lang w:val="es-MX"/>
        </w:rPr>
        <w:t xml:space="preserve">Específicamente, el </w:t>
      </w:r>
      <w:proofErr w:type="spellStart"/>
      <w:r w:rsidRPr="001A5A94">
        <w:rPr>
          <w:lang w:val="es-MX"/>
        </w:rPr>
        <w:t>CSAT</w:t>
      </w:r>
      <w:proofErr w:type="spellEnd"/>
      <w:r w:rsidRPr="001A5A94">
        <w:rPr>
          <w:lang w:val="es-MX"/>
        </w:rPr>
        <w:t xml:space="preserve"> implementará las siguientes medidas durante la implementación del proyecto:</w:t>
      </w:r>
    </w:p>
    <w:p w14:paraId="2DD59B4A" w14:textId="5392633B" w:rsidR="00554F7A" w:rsidRPr="001A5A94" w:rsidRDefault="00554F7A" w:rsidP="00C96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lang w:val="es-MX"/>
        </w:rPr>
      </w:pPr>
      <w:r w:rsidRPr="001A5A94">
        <w:rPr>
          <w:rFonts w:cstheme="minorHAnsi"/>
          <w:b/>
          <w:bCs/>
          <w:i/>
          <w:iCs/>
          <w:lang w:val="es-MX"/>
        </w:rPr>
        <w:t xml:space="preserve">Reuniones con partes interesadas: </w:t>
      </w:r>
      <w:r w:rsidRPr="001A5A94">
        <w:rPr>
          <w:rFonts w:cstheme="minorHAnsi"/>
          <w:lang w:val="es-MX"/>
        </w:rPr>
        <w:t xml:space="preserve">las reuniones presenciales y las mesas redondas con </w:t>
      </w:r>
      <w:proofErr w:type="spellStart"/>
      <w:r w:rsidRPr="001A5A94">
        <w:rPr>
          <w:rFonts w:cstheme="minorHAnsi"/>
          <w:lang w:val="es-MX"/>
        </w:rPr>
        <w:t>OSC</w:t>
      </w:r>
      <w:proofErr w:type="spellEnd"/>
      <w:r w:rsidRPr="001A5A94">
        <w:rPr>
          <w:rFonts w:cstheme="minorHAnsi"/>
          <w:lang w:val="es-MX"/>
        </w:rPr>
        <w:t xml:space="preserve">, </w:t>
      </w:r>
      <w:r w:rsidR="001D2ABB">
        <w:rPr>
          <w:rFonts w:cstheme="minorHAnsi"/>
          <w:lang w:val="es-MX"/>
        </w:rPr>
        <w:t xml:space="preserve">instituciones del </w:t>
      </w:r>
      <w:r w:rsidR="001A5A94">
        <w:rPr>
          <w:rFonts w:cstheme="minorHAnsi"/>
          <w:lang w:val="es-MX"/>
        </w:rPr>
        <w:t xml:space="preserve">sector público </w:t>
      </w:r>
      <w:r w:rsidR="001D2ABB">
        <w:rPr>
          <w:rFonts w:cstheme="minorHAnsi"/>
          <w:lang w:val="es-MX"/>
        </w:rPr>
        <w:t>(ISP)</w:t>
      </w:r>
      <w:r w:rsidRPr="001A5A94">
        <w:rPr>
          <w:rFonts w:cstheme="minorHAnsi"/>
          <w:lang w:val="es-MX"/>
        </w:rPr>
        <w:t>y socios interesados cambiarán a plataformas virtuales caso por caso, siguiendo todas las regulaciones y pautas nacionales para proteger a las personas contra la transmisión de COVID-19.</w:t>
      </w:r>
    </w:p>
    <w:p w14:paraId="1CA7FCDF" w14:textId="341D7B87" w:rsidR="00554F7A" w:rsidRPr="001A5A94" w:rsidRDefault="001A5A94" w:rsidP="00C96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lang w:val="es-MX"/>
        </w:rPr>
      </w:pPr>
      <w:r>
        <w:rPr>
          <w:rFonts w:cstheme="minorHAnsi"/>
          <w:b/>
          <w:bCs/>
          <w:i/>
          <w:iCs/>
          <w:lang w:val="es-MX"/>
        </w:rPr>
        <w:t>C</w:t>
      </w:r>
      <w:r w:rsidR="00554F7A" w:rsidRPr="001A5A94">
        <w:rPr>
          <w:rFonts w:cstheme="minorHAnsi"/>
          <w:b/>
          <w:bCs/>
          <w:i/>
          <w:iCs/>
          <w:lang w:val="es-MX"/>
        </w:rPr>
        <w:t xml:space="preserve">apacidades: </w:t>
      </w:r>
      <w:r w:rsidR="00554F7A" w:rsidRPr="001A5A94">
        <w:rPr>
          <w:rFonts w:cstheme="minorHAnsi"/>
          <w:lang w:val="es-MX"/>
        </w:rPr>
        <w:t xml:space="preserve">La estrategia de desarrollo de capacidades del </w:t>
      </w:r>
      <w:proofErr w:type="spellStart"/>
      <w:r w:rsidR="00554F7A" w:rsidRPr="001A5A94">
        <w:rPr>
          <w:rFonts w:cstheme="minorHAnsi"/>
          <w:lang w:val="es-MX"/>
        </w:rPr>
        <w:t>CSAT</w:t>
      </w:r>
      <w:proofErr w:type="spellEnd"/>
      <w:r w:rsidR="00554F7A" w:rsidRPr="001A5A94">
        <w:rPr>
          <w:rFonts w:cstheme="minorHAnsi"/>
          <w:lang w:val="es-MX"/>
        </w:rPr>
        <w:t xml:space="preserve"> tomará en consideración las actividades de desarrollo de capacidades que pueden llevarse a cabo a nivel comunitario y delineará las estrategias de mitigación apropiadas.</w:t>
      </w:r>
    </w:p>
    <w:p w14:paraId="739CABC2" w14:textId="372F95A1" w:rsidR="00554F7A" w:rsidRPr="001A5A94" w:rsidRDefault="00554F7A" w:rsidP="00C96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s-MX"/>
        </w:rPr>
      </w:pPr>
      <w:r w:rsidRPr="001A5A94">
        <w:rPr>
          <w:rFonts w:cstheme="minorHAnsi"/>
          <w:b/>
          <w:bCs/>
          <w:i/>
          <w:iCs/>
          <w:lang w:val="es-MX"/>
        </w:rPr>
        <w:t xml:space="preserve">Misiones de supervisión del </w:t>
      </w:r>
      <w:proofErr w:type="spellStart"/>
      <w:r w:rsidRPr="001A5A94">
        <w:rPr>
          <w:rFonts w:cstheme="minorHAnsi"/>
          <w:b/>
          <w:bCs/>
          <w:i/>
          <w:iCs/>
          <w:lang w:val="es-MX"/>
        </w:rPr>
        <w:t>CSAT</w:t>
      </w:r>
      <w:proofErr w:type="spellEnd"/>
      <w:r w:rsidRPr="001A5A94">
        <w:rPr>
          <w:rFonts w:cstheme="minorHAnsi"/>
          <w:b/>
          <w:bCs/>
          <w:i/>
          <w:iCs/>
          <w:lang w:val="es-MX"/>
        </w:rPr>
        <w:t xml:space="preserve">: </w:t>
      </w:r>
      <w:r w:rsidR="00351810" w:rsidRPr="001A5A94">
        <w:rPr>
          <w:rFonts w:cstheme="minorHAnsi"/>
          <w:lang w:val="es-MX"/>
        </w:rPr>
        <w:t xml:space="preserve">cuando el personal del </w:t>
      </w:r>
      <w:proofErr w:type="spellStart"/>
      <w:r w:rsidR="00351810" w:rsidRPr="001A5A94">
        <w:rPr>
          <w:rFonts w:cstheme="minorHAnsi"/>
          <w:lang w:val="es-MX"/>
        </w:rPr>
        <w:t>CSAT</w:t>
      </w:r>
      <w:proofErr w:type="spellEnd"/>
      <w:r w:rsidR="00351810" w:rsidRPr="001A5A94">
        <w:rPr>
          <w:rFonts w:cstheme="minorHAnsi"/>
          <w:lang w:val="es-MX"/>
        </w:rPr>
        <w:t xml:space="preserve"> puede viajar dentro del país, el personal del </w:t>
      </w:r>
      <w:proofErr w:type="spellStart"/>
      <w:r w:rsidR="00351810" w:rsidRPr="001A5A94">
        <w:rPr>
          <w:rFonts w:cstheme="minorHAnsi"/>
          <w:lang w:val="es-MX"/>
        </w:rPr>
        <w:t>CSAT</w:t>
      </w:r>
      <w:proofErr w:type="spellEnd"/>
      <w:r w:rsidR="00351810" w:rsidRPr="001A5A94">
        <w:rPr>
          <w:rFonts w:cstheme="minorHAnsi"/>
          <w:lang w:val="es-MX"/>
        </w:rPr>
        <w:t xml:space="preserve"> puede realizar visitas de campo a los países socios y luego discutir sus hallazgos durante la misión. Estas visitas se documentarán en informes de visitas al sitio preparados por el </w:t>
      </w:r>
      <w:proofErr w:type="spellStart"/>
      <w:r w:rsidR="00351810" w:rsidRPr="001A5A94">
        <w:rPr>
          <w:rFonts w:cstheme="minorHAnsi"/>
          <w:lang w:val="es-MX"/>
        </w:rPr>
        <w:t>CSAT</w:t>
      </w:r>
      <w:proofErr w:type="spellEnd"/>
      <w:r w:rsidR="00351810" w:rsidRPr="001A5A94">
        <w:rPr>
          <w:rFonts w:cstheme="minorHAnsi"/>
          <w:lang w:val="es-MX"/>
        </w:rPr>
        <w:t xml:space="preserve">, mientras que la misión general se documentará en un informe de misión de supervisión preparado por el Director de Subvenciones del </w:t>
      </w:r>
      <w:proofErr w:type="spellStart"/>
      <w:r w:rsidR="00351810" w:rsidRPr="001A5A94">
        <w:rPr>
          <w:rFonts w:cstheme="minorHAnsi"/>
          <w:lang w:val="es-MX"/>
        </w:rPr>
        <w:t>CEPF</w:t>
      </w:r>
      <w:proofErr w:type="spellEnd"/>
      <w:r w:rsidR="00351810" w:rsidRPr="001A5A94">
        <w:rPr>
          <w:rFonts w:cstheme="minorHAnsi"/>
          <w:lang w:val="es-MX"/>
        </w:rPr>
        <w:t>.</w:t>
      </w:r>
    </w:p>
    <w:p w14:paraId="5C762CE2" w14:textId="1BC0F4E9" w:rsidR="00554F7A" w:rsidRPr="001A5A94" w:rsidRDefault="00351810" w:rsidP="00C96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s-MX"/>
        </w:rPr>
      </w:pPr>
      <w:r w:rsidRPr="001A5A94">
        <w:rPr>
          <w:rFonts w:cstheme="minorHAnsi"/>
          <w:b/>
          <w:bCs/>
          <w:i/>
          <w:iCs/>
          <w:lang w:val="es-MX"/>
        </w:rPr>
        <w:t xml:space="preserve">Capacitación y enlace con las </w:t>
      </w:r>
      <w:proofErr w:type="spellStart"/>
      <w:r w:rsidRPr="001A5A94">
        <w:rPr>
          <w:rFonts w:cstheme="minorHAnsi"/>
          <w:b/>
          <w:bCs/>
          <w:i/>
          <w:iCs/>
          <w:lang w:val="es-MX"/>
        </w:rPr>
        <w:t>OSC</w:t>
      </w:r>
      <w:proofErr w:type="spellEnd"/>
      <w:r w:rsidRPr="001A5A94">
        <w:rPr>
          <w:rFonts w:cstheme="minorHAnsi"/>
          <w:b/>
          <w:bCs/>
          <w:i/>
          <w:iCs/>
          <w:lang w:val="es-MX"/>
        </w:rPr>
        <w:t xml:space="preserve"> y las </w:t>
      </w:r>
      <w:r w:rsidR="001D2ABB">
        <w:rPr>
          <w:rFonts w:cstheme="minorHAnsi"/>
          <w:b/>
          <w:bCs/>
          <w:i/>
          <w:iCs/>
          <w:lang w:val="es-MX"/>
        </w:rPr>
        <w:t>ISP</w:t>
      </w:r>
      <w:r w:rsidRPr="001A5A94">
        <w:rPr>
          <w:rFonts w:cstheme="minorHAnsi"/>
          <w:b/>
          <w:bCs/>
          <w:i/>
          <w:iCs/>
          <w:lang w:val="es-MX"/>
        </w:rPr>
        <w:t xml:space="preserve">: </w:t>
      </w:r>
      <w:r w:rsidR="00554F7A" w:rsidRPr="001A5A94">
        <w:rPr>
          <w:rFonts w:cstheme="minorHAnsi"/>
          <w:lang w:val="es-MX"/>
        </w:rPr>
        <w:t xml:space="preserve">donde se mantengan las restricciones relacionadas con la pandemia de COVID-19, se hará hincapié en los mecanismos virtuales, como reuniones virtuales, en lugar de eventos presenciales. Todos los intercambios cara a cara cumplirán con las pautas nacionales sobre COVID-19 (reuniones al aire libre, </w:t>
      </w:r>
      <w:r w:rsidR="001D2ABB">
        <w:rPr>
          <w:rFonts w:cstheme="minorHAnsi"/>
          <w:lang w:val="es-MX"/>
        </w:rPr>
        <w:t>mascarillas</w:t>
      </w:r>
      <w:r w:rsidR="00554F7A" w:rsidRPr="001A5A94">
        <w:rPr>
          <w:rFonts w:cstheme="minorHAnsi"/>
          <w:lang w:val="es-MX"/>
        </w:rPr>
        <w:t>, etc.).</w:t>
      </w:r>
    </w:p>
    <w:p w14:paraId="3CA4BA3C" w14:textId="2F4115C0" w:rsidR="00554F7A" w:rsidRPr="001A5A94" w:rsidRDefault="00554F7A" w:rsidP="00C96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s-MX"/>
        </w:rPr>
      </w:pPr>
      <w:r w:rsidRPr="001A5A94">
        <w:rPr>
          <w:rFonts w:cstheme="minorHAnsi"/>
          <w:b/>
          <w:bCs/>
          <w:i/>
          <w:iCs/>
          <w:lang w:val="es-MX"/>
        </w:rPr>
        <w:t xml:space="preserve">Implementación del programa colaborativo de responsabilidad social con el </w:t>
      </w:r>
      <w:proofErr w:type="spellStart"/>
      <w:r w:rsidRPr="001A5A94">
        <w:rPr>
          <w:rFonts w:cstheme="minorHAnsi"/>
          <w:b/>
          <w:bCs/>
          <w:i/>
          <w:iCs/>
          <w:lang w:val="es-MX"/>
        </w:rPr>
        <w:t>RIT</w:t>
      </w:r>
      <w:proofErr w:type="spellEnd"/>
      <w:r w:rsidRPr="001A5A94">
        <w:rPr>
          <w:rFonts w:cstheme="minorHAnsi"/>
          <w:b/>
          <w:bCs/>
          <w:i/>
          <w:iCs/>
          <w:lang w:val="es-MX"/>
        </w:rPr>
        <w:t xml:space="preserve"> en Las Bahamas, Haití y San Vicente y las Granadinas: </w:t>
      </w:r>
      <w:r w:rsidRPr="001A5A94">
        <w:rPr>
          <w:rFonts w:cstheme="minorHAnsi"/>
          <w:lang w:val="es-MX"/>
        </w:rPr>
        <w:t xml:space="preserve">El </w:t>
      </w:r>
      <w:proofErr w:type="spellStart"/>
      <w:r w:rsidRPr="001A5A94">
        <w:rPr>
          <w:rFonts w:cstheme="minorHAnsi"/>
          <w:lang w:val="es-MX"/>
        </w:rPr>
        <w:t>CSAT</w:t>
      </w:r>
      <w:proofErr w:type="spellEnd"/>
      <w:r w:rsidRPr="001A5A94">
        <w:rPr>
          <w:rFonts w:cstheme="minorHAnsi"/>
          <w:lang w:val="es-MX"/>
        </w:rPr>
        <w:t xml:space="preserve"> trabajará con el </w:t>
      </w:r>
      <w:proofErr w:type="spellStart"/>
      <w:r w:rsidRPr="001A5A94">
        <w:rPr>
          <w:rFonts w:cstheme="minorHAnsi"/>
          <w:lang w:val="es-MX"/>
        </w:rPr>
        <w:t>RIT</w:t>
      </w:r>
      <w:proofErr w:type="spellEnd"/>
      <w:r w:rsidRPr="001A5A94">
        <w:rPr>
          <w:rFonts w:cstheme="minorHAnsi"/>
          <w:lang w:val="es-MX"/>
        </w:rPr>
        <w:t xml:space="preserve"> para garantizar que se implementen todos los protocolos necesarios para las reuniones en persona relacionadas con este componente del </w:t>
      </w:r>
      <w:proofErr w:type="spellStart"/>
      <w:r w:rsidRPr="001A5A94">
        <w:rPr>
          <w:rFonts w:cstheme="minorHAnsi"/>
          <w:lang w:val="es-MX"/>
        </w:rPr>
        <w:t>RIT</w:t>
      </w:r>
      <w:proofErr w:type="spellEnd"/>
      <w:r w:rsidR="001D2ABB">
        <w:rPr>
          <w:rFonts w:cstheme="minorHAnsi"/>
          <w:lang w:val="es-MX"/>
        </w:rPr>
        <w:t xml:space="preserve"> del</w:t>
      </w:r>
      <w:r w:rsidRPr="001A5A94">
        <w:rPr>
          <w:rFonts w:cstheme="minorHAnsi"/>
          <w:lang w:val="es-MX"/>
        </w:rPr>
        <w:t xml:space="preserve"> proyecto. El cambio a medios virtuales también se realizará según sea necesario.</w:t>
      </w:r>
    </w:p>
    <w:p w14:paraId="16896B5D" w14:textId="716EDBDC" w:rsidR="00554F7A" w:rsidRPr="001A5A94" w:rsidRDefault="00C961AA" w:rsidP="00C961AA">
      <w:pPr>
        <w:tabs>
          <w:tab w:val="left" w:pos="3780"/>
        </w:tabs>
        <w:spacing w:after="0"/>
        <w:jc w:val="both"/>
        <w:rPr>
          <w:lang w:val="es-MX"/>
        </w:rPr>
      </w:pPr>
      <w:r w:rsidRPr="001A5A94">
        <w:rPr>
          <w:lang w:val="es-MX"/>
        </w:rPr>
        <w:tab/>
      </w:r>
    </w:p>
    <w:p w14:paraId="30E880EA" w14:textId="6AD1D47D" w:rsidR="00554F7A" w:rsidRPr="001A5A94" w:rsidRDefault="00554F7A" w:rsidP="00C961AA">
      <w:pPr>
        <w:spacing w:after="0"/>
        <w:jc w:val="both"/>
        <w:rPr>
          <w:b/>
          <w:bCs/>
          <w:lang w:val="es-MX"/>
        </w:rPr>
      </w:pPr>
      <w:r w:rsidRPr="001A5A94">
        <w:rPr>
          <w:b/>
          <w:bCs/>
          <w:lang w:val="es-MX"/>
        </w:rPr>
        <w:t>Mitigación del riesgo de huracanes, terremotos y otros desastres naturales</w:t>
      </w:r>
    </w:p>
    <w:p w14:paraId="76AAC737" w14:textId="77777777" w:rsidR="001D2ABB" w:rsidRDefault="00554F7A" w:rsidP="00C961AA">
      <w:pPr>
        <w:spacing w:after="0"/>
        <w:jc w:val="both"/>
        <w:rPr>
          <w:lang w:val="es-MX"/>
        </w:rPr>
      </w:pPr>
      <w:r w:rsidRPr="001A5A94">
        <w:rPr>
          <w:lang w:val="es-MX"/>
        </w:rPr>
        <w:t xml:space="preserve">Se mostrará flexibilidad en el momento y el enfoque de la implementación del proyecto para responder a situaciones cambiantes. El </w:t>
      </w:r>
      <w:proofErr w:type="spellStart"/>
      <w:r w:rsidRPr="001A5A94">
        <w:rPr>
          <w:lang w:val="es-MX"/>
        </w:rPr>
        <w:t>CSAT</w:t>
      </w:r>
      <w:proofErr w:type="spellEnd"/>
      <w:r w:rsidRPr="001A5A94">
        <w:rPr>
          <w:lang w:val="es-MX"/>
        </w:rPr>
        <w:t xml:space="preserve"> responderá a las solicitudes para adaptarse a las circunstancias cambiantes y responder a las necesidades humanitarias inmediatas y de recuperación posteriores</w:t>
      </w:r>
    </w:p>
    <w:p w14:paraId="599F0CB7" w14:textId="6EEC3499" w:rsidR="00554F7A" w:rsidRPr="001A5A94" w:rsidRDefault="00554F7A" w:rsidP="00C961AA">
      <w:pPr>
        <w:spacing w:after="0"/>
        <w:jc w:val="both"/>
        <w:rPr>
          <w:lang w:val="es-MX"/>
        </w:rPr>
      </w:pPr>
      <w:r w:rsidRPr="001A5A94">
        <w:rPr>
          <w:lang w:val="es-MX"/>
        </w:rPr>
        <w:t>.</w:t>
      </w:r>
    </w:p>
    <w:p w14:paraId="45B7AE02" w14:textId="77777777" w:rsidR="00554F7A" w:rsidRPr="001A5A94" w:rsidRDefault="00554F7A" w:rsidP="00C961AA">
      <w:pPr>
        <w:spacing w:after="0"/>
        <w:jc w:val="both"/>
        <w:rPr>
          <w:rFonts w:cstheme="minorHAnsi"/>
          <w:lang w:val="es-MX"/>
        </w:rPr>
      </w:pPr>
    </w:p>
    <w:p w14:paraId="1AD20F36" w14:textId="77777777" w:rsidR="00554F7A" w:rsidRPr="001A5A94" w:rsidRDefault="00554F7A" w:rsidP="00C961AA">
      <w:pPr>
        <w:spacing w:after="0"/>
        <w:jc w:val="both"/>
        <w:rPr>
          <w:b/>
          <w:bCs/>
          <w:lang w:val="es-MX"/>
        </w:rPr>
      </w:pPr>
      <w:r w:rsidRPr="001A5A94">
        <w:rPr>
          <w:b/>
          <w:bCs/>
          <w:lang w:val="es-MX"/>
        </w:rPr>
        <w:lastRenderedPageBreak/>
        <w:t>Leyes pertinentes en los países del proyecto</w:t>
      </w:r>
    </w:p>
    <w:p w14:paraId="079E3854" w14:textId="1B96133D" w:rsidR="00554F7A" w:rsidRPr="001A5A94" w:rsidRDefault="00554F7A" w:rsidP="00C961AA">
      <w:pPr>
        <w:spacing w:after="0"/>
        <w:jc w:val="both"/>
        <w:rPr>
          <w:lang w:val="es-MX"/>
        </w:rPr>
      </w:pPr>
      <w:r w:rsidRPr="001A5A94">
        <w:rPr>
          <w:lang w:val="es-MX"/>
        </w:rPr>
        <w:t>El Marco de Gestión Ambiental y Social (</w:t>
      </w:r>
      <w:proofErr w:type="spellStart"/>
      <w:r w:rsidRPr="001A5A94">
        <w:rPr>
          <w:lang w:val="es-MX"/>
        </w:rPr>
        <w:t>ESMF</w:t>
      </w:r>
      <w:proofErr w:type="spellEnd"/>
      <w:r w:rsidR="001D2ABB">
        <w:rPr>
          <w:lang w:val="es-MX"/>
        </w:rPr>
        <w:t>)</w:t>
      </w:r>
      <w:r w:rsidRPr="001A5A94">
        <w:rPr>
          <w:lang w:val="es-MX"/>
        </w:rPr>
        <w:t xml:space="preserve"> del </w:t>
      </w:r>
      <w:proofErr w:type="spellStart"/>
      <w:r w:rsidRPr="001A5A94">
        <w:rPr>
          <w:lang w:val="es-MX"/>
        </w:rPr>
        <w:t>CEPF</w:t>
      </w:r>
      <w:proofErr w:type="spellEnd"/>
      <w:r w:rsidRPr="001A5A94">
        <w:rPr>
          <w:lang w:val="es-MX"/>
        </w:rPr>
        <w:t xml:space="preserve"> describe las siguientes leyes clave en los países del proyecto y su relevancia para este Plan Comunitario de Salud y Seguridad. El </w:t>
      </w:r>
      <w:proofErr w:type="spellStart"/>
      <w:r w:rsidRPr="001A5A94">
        <w:rPr>
          <w:lang w:val="es-MX"/>
        </w:rPr>
        <w:t>RIT</w:t>
      </w:r>
      <w:proofErr w:type="spellEnd"/>
      <w:r w:rsidRPr="001A5A94">
        <w:rPr>
          <w:lang w:val="es-MX"/>
        </w:rPr>
        <w:t xml:space="preserve"> se asegurará de que el personal cumpla con estas leyes y pautas:</w:t>
      </w:r>
    </w:p>
    <w:p w14:paraId="5BE39A59" w14:textId="77777777" w:rsidR="00554F7A" w:rsidRPr="001A5A94" w:rsidRDefault="00554F7A" w:rsidP="00C961AA">
      <w:pPr>
        <w:spacing w:after="0"/>
        <w:jc w:val="both"/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970"/>
        <w:gridCol w:w="4585"/>
      </w:tblGrid>
      <w:tr w:rsidR="00554F7A" w:rsidRPr="001A5A94" w14:paraId="2602F194" w14:textId="77777777" w:rsidTr="00456455">
        <w:trPr>
          <w:cantSplit/>
          <w:tblHeader/>
        </w:trPr>
        <w:tc>
          <w:tcPr>
            <w:tcW w:w="1795" w:type="dxa"/>
          </w:tcPr>
          <w:p w14:paraId="45A52C23" w14:textId="77777777" w:rsidR="00554F7A" w:rsidRPr="001A5A94" w:rsidRDefault="00554F7A" w:rsidP="00C961AA">
            <w:pPr>
              <w:jc w:val="both"/>
              <w:rPr>
                <w:b/>
                <w:bCs/>
                <w:lang w:val="es-MX"/>
              </w:rPr>
            </w:pPr>
            <w:r w:rsidRPr="001A5A94">
              <w:rPr>
                <w:b/>
                <w:bCs/>
                <w:lang w:val="es-MX"/>
              </w:rPr>
              <w:t>País</w:t>
            </w:r>
          </w:p>
        </w:tc>
        <w:tc>
          <w:tcPr>
            <w:tcW w:w="2970" w:type="dxa"/>
          </w:tcPr>
          <w:p w14:paraId="6C9B1274" w14:textId="77777777" w:rsidR="00554F7A" w:rsidRPr="001A5A94" w:rsidRDefault="00554F7A" w:rsidP="00C961AA">
            <w:pPr>
              <w:jc w:val="both"/>
              <w:rPr>
                <w:b/>
                <w:bCs/>
                <w:lang w:val="es-MX"/>
              </w:rPr>
            </w:pPr>
            <w:r w:rsidRPr="001A5A94">
              <w:rPr>
                <w:b/>
                <w:bCs/>
                <w:lang w:val="es-MX"/>
              </w:rPr>
              <w:t>Ley</w:t>
            </w:r>
          </w:p>
        </w:tc>
        <w:tc>
          <w:tcPr>
            <w:tcW w:w="4585" w:type="dxa"/>
          </w:tcPr>
          <w:p w14:paraId="141FE0E2" w14:textId="77777777" w:rsidR="00554F7A" w:rsidRPr="001A5A94" w:rsidRDefault="00554F7A" w:rsidP="00C961AA">
            <w:pPr>
              <w:jc w:val="both"/>
              <w:rPr>
                <w:b/>
                <w:bCs/>
                <w:lang w:val="es-MX"/>
              </w:rPr>
            </w:pPr>
            <w:r w:rsidRPr="001A5A94">
              <w:rPr>
                <w:b/>
                <w:bCs/>
                <w:lang w:val="es-MX"/>
              </w:rPr>
              <w:t>Relevancia para ESS4</w:t>
            </w:r>
          </w:p>
        </w:tc>
      </w:tr>
      <w:tr w:rsidR="00554F7A" w:rsidRPr="001A5A94" w14:paraId="346E1487" w14:textId="77777777" w:rsidTr="00456455">
        <w:tc>
          <w:tcPr>
            <w:tcW w:w="1795" w:type="dxa"/>
          </w:tcPr>
          <w:p w14:paraId="59FA8C70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Antigua y Barbuda</w:t>
            </w:r>
          </w:p>
        </w:tc>
        <w:tc>
          <w:tcPr>
            <w:tcW w:w="2970" w:type="dxa"/>
          </w:tcPr>
          <w:p w14:paraId="7BEA7E13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Ley de Protección y Gestión Ambiental (2015)</w:t>
            </w:r>
          </w:p>
        </w:tc>
        <w:tc>
          <w:tcPr>
            <w:tcW w:w="4585" w:type="dxa"/>
          </w:tcPr>
          <w:p w14:paraId="6DF3937D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Prevé medidas para el control y la mitigación de todas las formas de degradación o contaminación ambiental, incluida la gestión de pesticidas y otras sustancias peligrosas para proteger la salud humana y mantener la calidad del medio ambiente.</w:t>
            </w:r>
          </w:p>
        </w:tc>
      </w:tr>
      <w:tr w:rsidR="00554F7A" w:rsidRPr="001A5A94" w14:paraId="3D7FA272" w14:textId="77777777" w:rsidTr="00456455">
        <w:tc>
          <w:tcPr>
            <w:tcW w:w="1795" w:type="dxa"/>
          </w:tcPr>
          <w:p w14:paraId="7E164B17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Antigua y Barbuda</w:t>
            </w:r>
          </w:p>
        </w:tc>
        <w:tc>
          <w:tcPr>
            <w:tcW w:w="2970" w:type="dxa"/>
          </w:tcPr>
          <w:p w14:paraId="384BBF92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Ley de Salud Pública (1957; enmendada)</w:t>
            </w:r>
          </w:p>
        </w:tc>
        <w:tc>
          <w:tcPr>
            <w:tcW w:w="4585" w:type="dxa"/>
          </w:tcPr>
          <w:p w14:paraId="4D011496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Dispone sobre diversos asuntos relacionados con la salud pública, incluso con respecto a la notificación y el control de enfermedades infecciosas.</w:t>
            </w:r>
          </w:p>
        </w:tc>
      </w:tr>
      <w:tr w:rsidR="00554F7A" w:rsidRPr="001A5A94" w14:paraId="2379952D" w14:textId="77777777" w:rsidTr="00456455">
        <w:tc>
          <w:tcPr>
            <w:tcW w:w="1795" w:type="dxa"/>
          </w:tcPr>
          <w:p w14:paraId="25E9EA58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República Dominicana</w:t>
            </w:r>
          </w:p>
        </w:tc>
        <w:tc>
          <w:tcPr>
            <w:tcW w:w="2970" w:type="dxa"/>
          </w:tcPr>
          <w:p w14:paraId="19CFF8C7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Ley General de Salud (2001)</w:t>
            </w:r>
          </w:p>
        </w:tc>
        <w:tc>
          <w:tcPr>
            <w:tcW w:w="4585" w:type="dxa"/>
          </w:tcPr>
          <w:p w14:paraId="5A87B6B8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Define el papel del Estado en relación con el cumplimiento de los derechos ciudadanos a la salud.</w:t>
            </w:r>
          </w:p>
        </w:tc>
      </w:tr>
      <w:tr w:rsidR="00554F7A" w:rsidRPr="001A5A94" w14:paraId="32B0B83B" w14:textId="77777777" w:rsidTr="00456455">
        <w:tc>
          <w:tcPr>
            <w:tcW w:w="1795" w:type="dxa"/>
          </w:tcPr>
          <w:p w14:paraId="0A5C9B25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Jamaica</w:t>
            </w:r>
          </w:p>
        </w:tc>
        <w:tc>
          <w:tcPr>
            <w:tcW w:w="2970" w:type="dxa"/>
          </w:tcPr>
          <w:p w14:paraId="1DB88BF9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Ley de Salud Pública (2003)</w:t>
            </w:r>
          </w:p>
        </w:tc>
        <w:tc>
          <w:tcPr>
            <w:tcW w:w="4585" w:type="dxa"/>
          </w:tcPr>
          <w:p w14:paraId="4BDE8568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Proporciona una lista de enfermedades transmisibles que deben ser notificadas a las autoridades competentes.</w:t>
            </w:r>
          </w:p>
        </w:tc>
      </w:tr>
      <w:tr w:rsidR="00554F7A" w:rsidRPr="001A5A94" w14:paraId="0523502F" w14:textId="77777777" w:rsidTr="00456455">
        <w:tc>
          <w:tcPr>
            <w:tcW w:w="1795" w:type="dxa"/>
          </w:tcPr>
          <w:p w14:paraId="409873EB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Jamaica</w:t>
            </w:r>
          </w:p>
        </w:tc>
        <w:tc>
          <w:tcPr>
            <w:tcW w:w="2970" w:type="dxa"/>
          </w:tcPr>
          <w:p w14:paraId="33A3D8F6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Ley de Preparación para Desastres y Manejo de Emergencias (1993)</w:t>
            </w:r>
          </w:p>
        </w:tc>
        <w:tc>
          <w:tcPr>
            <w:tcW w:w="4585" w:type="dxa"/>
          </w:tcPr>
          <w:p w14:paraId="2FC71FFF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Prevé medidas de preparación para casos de desastre y de gestión de emergencias.</w:t>
            </w:r>
          </w:p>
        </w:tc>
      </w:tr>
      <w:tr w:rsidR="00554F7A" w:rsidRPr="001A5A94" w14:paraId="015C8711" w14:textId="77777777" w:rsidTr="00456455">
        <w:tc>
          <w:tcPr>
            <w:tcW w:w="1795" w:type="dxa"/>
          </w:tcPr>
          <w:p w14:paraId="36C7C6AF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Santa Lucía</w:t>
            </w:r>
          </w:p>
        </w:tc>
        <w:tc>
          <w:tcPr>
            <w:tcW w:w="2970" w:type="dxa"/>
          </w:tcPr>
          <w:p w14:paraId="291DF67A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Reglamento de salud pública (enfermedades transmisibles y de notificación obligatoria) (1978; enmendado)</w:t>
            </w:r>
          </w:p>
        </w:tc>
        <w:tc>
          <w:tcPr>
            <w:tcW w:w="4585" w:type="dxa"/>
          </w:tcPr>
          <w:p w14:paraId="7D85640F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Proporciona una lista de enfermedades transmisibles que deben ser notificadas a las autoridades competentes en virtud de la Ley de Salud Pública.</w:t>
            </w:r>
          </w:p>
        </w:tc>
      </w:tr>
      <w:tr w:rsidR="00554F7A" w:rsidRPr="001A5A94" w14:paraId="1827D177" w14:textId="77777777" w:rsidTr="00456455">
        <w:tc>
          <w:tcPr>
            <w:tcW w:w="1795" w:type="dxa"/>
          </w:tcPr>
          <w:p w14:paraId="55B65524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Santa Lucía</w:t>
            </w:r>
          </w:p>
        </w:tc>
        <w:tc>
          <w:tcPr>
            <w:tcW w:w="2970" w:type="dxa"/>
          </w:tcPr>
          <w:p w14:paraId="4EED283C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Ley de Salud Pública (1975)</w:t>
            </w:r>
          </w:p>
        </w:tc>
        <w:tc>
          <w:tcPr>
            <w:tcW w:w="4585" w:type="dxa"/>
          </w:tcPr>
          <w:p w14:paraId="7B2D6926" w14:textId="77777777" w:rsidR="00554F7A" w:rsidRPr="001A5A94" w:rsidRDefault="00554F7A" w:rsidP="00C961AA">
            <w:pPr>
              <w:jc w:val="both"/>
              <w:rPr>
                <w:lang w:val="es-MX"/>
              </w:rPr>
            </w:pPr>
            <w:r w:rsidRPr="001A5A94">
              <w:rPr>
                <w:lang w:val="es-MX"/>
              </w:rPr>
              <w:t>Consolida regulaciones para la salud pública, incluyendo la prevención, tratamiento, limitación y supresión de enfermedades.</w:t>
            </w:r>
          </w:p>
        </w:tc>
      </w:tr>
    </w:tbl>
    <w:p w14:paraId="1987A322" w14:textId="77777777" w:rsidR="00F06082" w:rsidRPr="001A5A94" w:rsidRDefault="00F06082" w:rsidP="00C961AA">
      <w:pPr>
        <w:pStyle w:val="ListParagraph"/>
        <w:spacing w:after="0"/>
        <w:ind w:left="360"/>
        <w:jc w:val="both"/>
        <w:rPr>
          <w:rFonts w:cstheme="minorHAnsi"/>
          <w:lang w:val="es-MX"/>
        </w:rPr>
      </w:pPr>
    </w:p>
    <w:p w14:paraId="6483A3AE" w14:textId="4C470018" w:rsidR="00F06082" w:rsidRPr="001A5A94" w:rsidRDefault="00F06082" w:rsidP="00C961AA">
      <w:pPr>
        <w:pStyle w:val="Heading1"/>
        <w:jc w:val="both"/>
        <w:rPr>
          <w:rFonts w:cstheme="minorBidi"/>
          <w:lang w:val="es-MX"/>
        </w:rPr>
      </w:pPr>
      <w:r w:rsidRPr="001A5A94">
        <w:rPr>
          <w:rFonts w:cstheme="minorHAnsi"/>
          <w:bCs/>
          <w:u w:val="single"/>
          <w:lang w:val="es-MX"/>
        </w:rPr>
        <w:t>Medidas para evitar el riesgo de COVID-19</w:t>
      </w:r>
      <w:r w:rsidR="00CB6C83">
        <w:rPr>
          <w:rFonts w:cstheme="minorHAnsi"/>
          <w:bCs/>
          <w:u w:val="single"/>
          <w:lang w:val="es-MX"/>
        </w:rPr>
        <w:t>:</w:t>
      </w:r>
      <w:r w:rsidRPr="001A5A94">
        <w:rPr>
          <w:rFonts w:cstheme="minorHAnsi"/>
          <w:lang w:val="es-MX"/>
        </w:rPr>
        <w:t xml:space="preserve"> </w:t>
      </w:r>
    </w:p>
    <w:p w14:paraId="44B89203" w14:textId="1902A9B6" w:rsidR="00D65414" w:rsidRPr="001A5A94" w:rsidRDefault="00D65414" w:rsidP="00C961AA">
      <w:pPr>
        <w:jc w:val="both"/>
        <w:rPr>
          <w:lang w:val="es-MX"/>
        </w:rPr>
      </w:pPr>
      <w:r w:rsidRPr="001A5A94">
        <w:rPr>
          <w:lang w:val="es-MX"/>
        </w:rPr>
        <w:t>El Proyecto también se adherirá a las pautas internacionales relacionadas con Covid-19</w:t>
      </w:r>
      <w:r w:rsidR="001D2ABB">
        <w:rPr>
          <w:lang w:val="es-MX"/>
        </w:rPr>
        <w:t>, incluyendo</w:t>
      </w:r>
      <w:r w:rsidRPr="001A5A94">
        <w:rPr>
          <w:lang w:val="es-MX"/>
        </w:rPr>
        <w:t>:</w:t>
      </w:r>
    </w:p>
    <w:p w14:paraId="77C65E58" w14:textId="1B5A9DC9" w:rsidR="00D65414" w:rsidRPr="001A5A94" w:rsidRDefault="00916771" w:rsidP="00C961AA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es-MX"/>
        </w:rPr>
      </w:pPr>
      <w:hyperlink r:id="rId8" w:history="1">
        <w:r w:rsidR="00D65414" w:rsidRPr="001A5A94">
          <w:rPr>
            <w:rStyle w:val="Hyperlink"/>
            <w:lang w:val="es-MX"/>
          </w:rPr>
          <w:t>Convenio de la OIT sobre seguridad y salud en el trabajo, 1981 (</w:t>
        </w:r>
        <w:r w:rsidR="001D2ABB">
          <w:rPr>
            <w:rStyle w:val="Hyperlink"/>
            <w:lang w:val="es-MX"/>
          </w:rPr>
          <w:t>N</w:t>
        </w:r>
        <w:r w:rsidR="00D65414" w:rsidRPr="001A5A94">
          <w:rPr>
            <w:rStyle w:val="Hyperlink"/>
            <w:lang w:val="es-MX"/>
          </w:rPr>
          <w:t>úm. 155)</w:t>
        </w:r>
      </w:hyperlink>
    </w:p>
    <w:p w14:paraId="101E4D55" w14:textId="5AB7087A" w:rsidR="00D65414" w:rsidRPr="001A5A94" w:rsidRDefault="00916771" w:rsidP="00C961AA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Style w:val="Hyperlink"/>
          <w:lang w:val="es-MX"/>
        </w:rPr>
      </w:pPr>
      <w:hyperlink r:id="rId9" w:history="1">
        <w:r w:rsidR="00D65414" w:rsidRPr="001A5A94">
          <w:rPr>
            <w:rStyle w:val="Hyperlink"/>
            <w:lang w:val="es-MX"/>
          </w:rPr>
          <w:t>Convenio de la OIT sobre los servicios de salud en el trabajo, 1985 (</w:t>
        </w:r>
        <w:r w:rsidR="001D2ABB">
          <w:rPr>
            <w:rStyle w:val="Hyperlink"/>
            <w:lang w:val="es-MX"/>
          </w:rPr>
          <w:t>N</w:t>
        </w:r>
        <w:r w:rsidR="00D65414" w:rsidRPr="001A5A94">
          <w:rPr>
            <w:rStyle w:val="Hyperlink"/>
            <w:lang w:val="es-MX"/>
          </w:rPr>
          <w:t>úm. 161)</w:t>
        </w:r>
      </w:hyperlink>
    </w:p>
    <w:p w14:paraId="758976FD" w14:textId="77777777" w:rsidR="00D65414" w:rsidRPr="001A5A94" w:rsidRDefault="00916771" w:rsidP="00C961AA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es-MX"/>
        </w:rPr>
      </w:pPr>
      <w:hyperlink r:id="rId10" w:history="1">
        <w:r w:rsidR="00D65414" w:rsidRPr="001A5A94">
          <w:rPr>
            <w:rStyle w:val="Hyperlink"/>
            <w:lang w:val="es-MX"/>
          </w:rPr>
          <w:t>Reglamento Sanitario Internacional de la OMS, 2005</w:t>
        </w:r>
      </w:hyperlink>
    </w:p>
    <w:p w14:paraId="35A6C232" w14:textId="77777777" w:rsidR="00D65414" w:rsidRPr="001A5A94" w:rsidRDefault="00916771" w:rsidP="00C961AA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Style w:val="Hyperlink"/>
          <w:lang w:val="es-MX"/>
        </w:rPr>
      </w:pPr>
      <w:hyperlink r:id="rId11" w:history="1">
        <w:r w:rsidR="00D65414" w:rsidRPr="001A5A94">
          <w:rPr>
            <w:rStyle w:val="Hyperlink"/>
            <w:lang w:val="es-MX"/>
          </w:rPr>
          <w:t xml:space="preserve">Marco de Respuesta a Emergencias de la OMS </w:t>
        </w:r>
      </w:hyperlink>
      <w:r w:rsidR="00D65414" w:rsidRPr="001A5A94">
        <w:rPr>
          <w:rStyle w:val="Hyperlink"/>
          <w:lang w:val="es-MX"/>
        </w:rPr>
        <w:t>, 2017</w:t>
      </w:r>
    </w:p>
    <w:p w14:paraId="5974BC6C" w14:textId="469AAC0D" w:rsidR="00D65414" w:rsidRPr="001A5A94" w:rsidRDefault="00D65414" w:rsidP="00C961AA">
      <w:pPr>
        <w:spacing w:after="0"/>
        <w:jc w:val="both"/>
        <w:rPr>
          <w:lang w:val="es-MX"/>
        </w:rPr>
      </w:pPr>
      <w:r w:rsidRPr="001A5A94">
        <w:rPr>
          <w:lang w:val="es-MX"/>
        </w:rPr>
        <w:t>El proyecto también garantizará que se cumplan las directrices específicas de la OMS sobre el COVID-19, junto con la nota de orientación del Banco Mundial, "Consideraciones sobre el COVID-19 en proyectos de construcción/obras civiles".</w:t>
      </w:r>
    </w:p>
    <w:p w14:paraId="36C736A8" w14:textId="13888CE5" w:rsidR="00D65414" w:rsidRPr="001A5A94" w:rsidRDefault="00D65414" w:rsidP="00C961AA">
      <w:pPr>
        <w:spacing w:after="0"/>
        <w:jc w:val="both"/>
        <w:rPr>
          <w:lang w:val="es-MX"/>
        </w:rPr>
      </w:pPr>
    </w:p>
    <w:p w14:paraId="133345F4" w14:textId="77777777" w:rsidR="00D65414" w:rsidRPr="001A5A94" w:rsidRDefault="00D65414" w:rsidP="00C961AA">
      <w:pPr>
        <w:jc w:val="both"/>
        <w:rPr>
          <w:lang w:val="es-MX"/>
        </w:rPr>
      </w:pPr>
      <w:r w:rsidRPr="001A5A94">
        <w:rPr>
          <w:lang w:val="es-MX"/>
        </w:rPr>
        <w:lastRenderedPageBreak/>
        <w:t>El proyecto garantizará lo siguiente:</w:t>
      </w:r>
    </w:p>
    <w:p w14:paraId="310F6B26" w14:textId="6B091959" w:rsidR="00D65414" w:rsidRPr="001A5A94" w:rsidRDefault="00D65414" w:rsidP="00C961AA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lang w:val="es-MX"/>
        </w:rPr>
      </w:pPr>
      <w:r w:rsidRPr="001A5A94">
        <w:rPr>
          <w:lang w:val="es-MX"/>
        </w:rPr>
        <w:t>La capacitación en salud y seguridad ocupacional incluirá capacitación para los trabajadores del proyecto sobre higiene y otras medidas preventivas.</w:t>
      </w:r>
    </w:p>
    <w:p w14:paraId="378E4B8D" w14:textId="088E989E" w:rsidR="00D65414" w:rsidRPr="001A5A94" w:rsidRDefault="00D65414" w:rsidP="00C961AA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lang w:val="es-MX"/>
        </w:rPr>
      </w:pPr>
      <w:r w:rsidRPr="001A5A94">
        <w:rPr>
          <w:lang w:val="es-MX"/>
        </w:rPr>
        <w:t xml:space="preserve">Una estrategia de comunicación para actualizaciones periódicas sobre temas relacionados con el </w:t>
      </w:r>
      <w:r w:rsidR="001D2ABB" w:rsidRPr="001A5A94">
        <w:rPr>
          <w:lang w:val="es-MX"/>
        </w:rPr>
        <w:t xml:space="preserve">COVID </w:t>
      </w:r>
      <w:r w:rsidRPr="001A5A94">
        <w:rPr>
          <w:lang w:val="es-MX"/>
        </w:rPr>
        <w:t>-19 y el estado de cualquier trabajador que pueda verse afectado por la enfermedad.</w:t>
      </w:r>
    </w:p>
    <w:p w14:paraId="68F52348" w14:textId="77777777" w:rsidR="00D65414" w:rsidRPr="001A5A94" w:rsidRDefault="00D65414" w:rsidP="00C961AA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lang w:val="es-MX"/>
        </w:rPr>
      </w:pPr>
      <w:r w:rsidRPr="001A5A94">
        <w:rPr>
          <w:lang w:val="es-MX"/>
        </w:rPr>
        <w:t>Las sesiones virtuales, incluso con las comunidades del proyecto, se llevarán a cabo cuando sea viable.</w:t>
      </w:r>
    </w:p>
    <w:p w14:paraId="1F5770CD" w14:textId="5FA95546" w:rsidR="00D65414" w:rsidRPr="001A5A94" w:rsidRDefault="00D65414" w:rsidP="00C961AA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lang w:val="es-MX"/>
        </w:rPr>
      </w:pPr>
      <w:r w:rsidRPr="001A5A94">
        <w:rPr>
          <w:lang w:val="es-MX"/>
        </w:rPr>
        <w:t xml:space="preserve">Cuando las sesiones virtuales no sean viables y las sesiones deban realizarse en persona, el proyecto garantizará que se cumplan los protocolos adecuados de </w:t>
      </w:r>
      <w:r w:rsidR="001D2ABB" w:rsidRPr="001A5A94">
        <w:rPr>
          <w:lang w:val="es-MX"/>
        </w:rPr>
        <w:t xml:space="preserve">COVID </w:t>
      </w:r>
      <w:r w:rsidRPr="001A5A94">
        <w:rPr>
          <w:lang w:val="es-MX"/>
        </w:rPr>
        <w:t>-19 (consulte la nota de orientación del banco y la orientación de la OMS).</w:t>
      </w:r>
    </w:p>
    <w:p w14:paraId="788F34AC" w14:textId="7A8C6E8E" w:rsidR="00D65414" w:rsidRPr="001A5A94" w:rsidRDefault="00D65414" w:rsidP="00C961AA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lang w:val="es-MX"/>
        </w:rPr>
      </w:pPr>
      <w:r w:rsidRPr="001A5A94">
        <w:rPr>
          <w:lang w:val="es-MX"/>
        </w:rPr>
        <w:t xml:space="preserve">Los trabajadores del proyecto contarán con el </w:t>
      </w:r>
      <w:r w:rsidR="001D2ABB">
        <w:rPr>
          <w:lang w:val="es-MX"/>
        </w:rPr>
        <w:t xml:space="preserve">equipo de protección personal </w:t>
      </w:r>
      <w:r w:rsidRPr="001A5A94">
        <w:rPr>
          <w:lang w:val="es-MX"/>
        </w:rPr>
        <w:t>adecuado requerido para llevar a cabo sus funciones de manera segura.</w:t>
      </w:r>
    </w:p>
    <w:p w14:paraId="28E4A046" w14:textId="067BC5B2" w:rsidR="00D65414" w:rsidRPr="001A5A94" w:rsidRDefault="00D65414" w:rsidP="00C961AA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lang w:val="es-MX"/>
        </w:rPr>
      </w:pPr>
      <w:r w:rsidRPr="001A5A94">
        <w:rPr>
          <w:lang w:val="es-MX"/>
        </w:rPr>
        <w:t xml:space="preserve">Se desarrollará un protocolo en caso de que algún trabajador del proyecto contraiga </w:t>
      </w:r>
      <w:r w:rsidR="001D2ABB" w:rsidRPr="001A5A94">
        <w:rPr>
          <w:lang w:val="es-MX"/>
        </w:rPr>
        <w:t xml:space="preserve">COVID </w:t>
      </w:r>
      <w:r w:rsidRPr="001A5A94">
        <w:rPr>
          <w:lang w:val="es-MX"/>
        </w:rPr>
        <w:t>-19.</w:t>
      </w:r>
    </w:p>
    <w:p w14:paraId="2FEDD7EA" w14:textId="32DD260F" w:rsidR="00D65414" w:rsidRPr="001A5A94" w:rsidRDefault="00F06082" w:rsidP="00C961AA">
      <w:pPr>
        <w:pStyle w:val="Heading1"/>
        <w:jc w:val="both"/>
        <w:rPr>
          <w:b w:val="0"/>
          <w:lang w:val="es-MX"/>
        </w:rPr>
      </w:pPr>
      <w:r w:rsidRPr="001A5A94">
        <w:rPr>
          <w:bCs/>
          <w:u w:val="single"/>
          <w:lang w:val="es-MX"/>
        </w:rPr>
        <w:t>Plan de preparación y respuesta ante emergencias</w:t>
      </w:r>
      <w:r w:rsidR="00CB6C83">
        <w:rPr>
          <w:bCs/>
          <w:u w:val="single"/>
          <w:lang w:val="es-MX"/>
        </w:rPr>
        <w:t>:</w:t>
      </w:r>
    </w:p>
    <w:p w14:paraId="292B3B48" w14:textId="79381EB9" w:rsidR="00F06082" w:rsidRPr="001A5A94" w:rsidRDefault="00D65414" w:rsidP="00C961AA">
      <w:pPr>
        <w:pStyle w:val="ListParagraph"/>
        <w:spacing w:after="0"/>
        <w:ind w:left="360"/>
        <w:jc w:val="both"/>
        <w:rPr>
          <w:lang w:val="es-MX"/>
        </w:rPr>
      </w:pPr>
      <w:r w:rsidRPr="001A5A94">
        <w:rPr>
          <w:lang w:val="es-MX"/>
        </w:rPr>
        <w:t xml:space="preserve">El </w:t>
      </w:r>
      <w:proofErr w:type="spellStart"/>
      <w:r w:rsidRPr="001A5A94">
        <w:rPr>
          <w:lang w:val="es-MX"/>
        </w:rPr>
        <w:t>CSAT</w:t>
      </w:r>
      <w:proofErr w:type="spellEnd"/>
      <w:r w:rsidRPr="001A5A94">
        <w:rPr>
          <w:lang w:val="es-MX"/>
        </w:rPr>
        <w:t xml:space="preserve"> seguirá el Plan de preparación para emergencias de </w:t>
      </w:r>
      <w:proofErr w:type="spellStart"/>
      <w:r w:rsidRPr="001A5A94">
        <w:rPr>
          <w:lang w:val="es-MX"/>
        </w:rPr>
        <w:t>RIT</w:t>
      </w:r>
      <w:proofErr w:type="spellEnd"/>
      <w:r w:rsidRPr="001A5A94">
        <w:rPr>
          <w:lang w:val="es-MX"/>
        </w:rPr>
        <w:t xml:space="preserve"> para guiar su trabajo en respuesta a eventos de emergencia, incluidos huracanes, terremotos, otros desastres naturales, así como COVID-19 y otras enfermedades infecciosas. El </w:t>
      </w:r>
      <w:proofErr w:type="spellStart"/>
      <w:r w:rsidRPr="001A5A94">
        <w:rPr>
          <w:lang w:val="es-MX"/>
        </w:rPr>
        <w:t>CSAT</w:t>
      </w:r>
      <w:proofErr w:type="spellEnd"/>
      <w:r w:rsidRPr="001A5A94">
        <w:rPr>
          <w:lang w:val="es-MX"/>
        </w:rPr>
        <w:t xml:space="preserve"> se guiará por estos planes.</w:t>
      </w:r>
    </w:p>
    <w:p w14:paraId="7A8DF04D" w14:textId="77777777" w:rsidR="00F06082" w:rsidRPr="001A5A94" w:rsidRDefault="00F06082" w:rsidP="00C961AA">
      <w:pPr>
        <w:pStyle w:val="ListParagraph"/>
        <w:jc w:val="both"/>
        <w:rPr>
          <w:lang w:val="es-MX"/>
        </w:rPr>
      </w:pPr>
    </w:p>
    <w:p w14:paraId="3248AE30" w14:textId="3238AAE2" w:rsidR="00F06082" w:rsidRPr="001A5A94" w:rsidRDefault="00F06082" w:rsidP="00C961AA">
      <w:pPr>
        <w:pStyle w:val="Heading1"/>
        <w:jc w:val="both"/>
        <w:rPr>
          <w:b w:val="0"/>
          <w:lang w:val="es-MX"/>
        </w:rPr>
      </w:pPr>
      <w:r w:rsidRPr="001A5A94">
        <w:rPr>
          <w:bCs/>
          <w:u w:val="single"/>
          <w:lang w:val="es-MX"/>
        </w:rPr>
        <w:t>Medidas para mitigar los riesgos relacionados con el personal de seguridad</w:t>
      </w:r>
      <w:r w:rsidRPr="001A5A94">
        <w:rPr>
          <w:bCs/>
          <w:lang w:val="es-MX"/>
        </w:rPr>
        <w:t>:</w:t>
      </w:r>
    </w:p>
    <w:p w14:paraId="6F9C7C5C" w14:textId="1D3741F9" w:rsidR="00D65414" w:rsidRPr="001A5A94" w:rsidRDefault="00D65414" w:rsidP="00C961AA">
      <w:pPr>
        <w:pStyle w:val="ListParagraph"/>
        <w:spacing w:after="0"/>
        <w:ind w:left="360"/>
        <w:jc w:val="both"/>
        <w:rPr>
          <w:lang w:val="es-MX"/>
        </w:rPr>
      </w:pPr>
      <w:r w:rsidRPr="001A5A94">
        <w:rPr>
          <w:lang w:val="es-MX"/>
        </w:rPr>
        <w:t xml:space="preserve">No </w:t>
      </w:r>
      <w:r w:rsidR="00CB6C83">
        <w:rPr>
          <w:lang w:val="es-MX"/>
        </w:rPr>
        <w:t>corresponde.</w:t>
      </w:r>
    </w:p>
    <w:p w14:paraId="7B6BBF72" w14:textId="77777777" w:rsidR="00D65414" w:rsidRPr="001A5A94" w:rsidRDefault="00D65414" w:rsidP="00C961AA">
      <w:pPr>
        <w:pStyle w:val="ListParagraph"/>
        <w:spacing w:after="0"/>
        <w:ind w:left="360"/>
        <w:jc w:val="both"/>
        <w:rPr>
          <w:lang w:val="es-MX"/>
        </w:rPr>
      </w:pPr>
    </w:p>
    <w:p w14:paraId="5EF5A492" w14:textId="07384355" w:rsidR="00F06082" w:rsidRPr="001A5A94" w:rsidRDefault="00F06082" w:rsidP="00C961AA">
      <w:pPr>
        <w:pStyle w:val="Heading1"/>
        <w:jc w:val="both"/>
        <w:rPr>
          <w:rFonts w:cstheme="minorHAnsi"/>
          <w:lang w:val="es-MX"/>
        </w:rPr>
      </w:pPr>
      <w:r w:rsidRPr="001A5A94">
        <w:rPr>
          <w:rFonts w:cstheme="minorHAnsi"/>
          <w:u w:val="single"/>
          <w:lang w:val="es-MX"/>
        </w:rPr>
        <w:t>Crono</w:t>
      </w:r>
      <w:r w:rsidR="00CB6C83">
        <w:rPr>
          <w:rFonts w:cstheme="minorHAnsi"/>
          <w:u w:val="single"/>
          <w:lang w:val="es-MX"/>
        </w:rPr>
        <w:t xml:space="preserve">grama </w:t>
      </w:r>
      <w:r w:rsidRPr="001A5A94">
        <w:rPr>
          <w:rFonts w:cstheme="minorHAnsi"/>
          <w:u w:val="single"/>
          <w:lang w:val="es-MX"/>
        </w:rPr>
        <w:t>y recursos</w:t>
      </w:r>
      <w:r w:rsidR="00CB6C83">
        <w:rPr>
          <w:rFonts w:cstheme="minorHAnsi"/>
          <w:u w:val="single"/>
          <w:lang w:val="es-MX"/>
        </w:rPr>
        <w:t>:</w:t>
      </w:r>
    </w:p>
    <w:p w14:paraId="618D4710" w14:textId="096F648D" w:rsidR="00D65414" w:rsidRPr="001A5A94" w:rsidRDefault="00D65414" w:rsidP="00C961AA">
      <w:pPr>
        <w:pStyle w:val="ListParagraph"/>
        <w:spacing w:after="0"/>
        <w:ind w:left="360"/>
        <w:jc w:val="both"/>
        <w:rPr>
          <w:rFonts w:cstheme="minorHAnsi"/>
          <w:lang w:val="es-MX"/>
        </w:rPr>
      </w:pPr>
      <w:r w:rsidRPr="001A5A94">
        <w:rPr>
          <w:rFonts w:cstheme="minorHAnsi"/>
          <w:lang w:val="es-MX"/>
        </w:rPr>
        <w:t xml:space="preserve">La implementación de las medidas de mitigación será durante todo el tiempo del proyecto </w:t>
      </w:r>
      <w:proofErr w:type="spellStart"/>
      <w:r w:rsidRPr="001A5A94">
        <w:rPr>
          <w:rFonts w:cstheme="minorHAnsi"/>
          <w:lang w:val="es-MX"/>
        </w:rPr>
        <w:t>CSAT</w:t>
      </w:r>
      <w:proofErr w:type="spellEnd"/>
      <w:r w:rsidRPr="001A5A94">
        <w:rPr>
          <w:rFonts w:cstheme="minorHAnsi"/>
          <w:lang w:val="es-MX"/>
        </w:rPr>
        <w:t>.</w:t>
      </w:r>
    </w:p>
    <w:p w14:paraId="10B74FEE" w14:textId="77777777" w:rsidR="00F06082" w:rsidRPr="001A5A94" w:rsidRDefault="00F06082" w:rsidP="00C961AA">
      <w:pPr>
        <w:pStyle w:val="ListParagraph"/>
        <w:jc w:val="both"/>
        <w:rPr>
          <w:rFonts w:cstheme="minorHAnsi"/>
          <w:lang w:val="es-MX"/>
        </w:rPr>
      </w:pPr>
    </w:p>
    <w:p w14:paraId="63821D99" w14:textId="2415BB23" w:rsidR="00F06082" w:rsidRPr="001A5A94" w:rsidRDefault="00F06082" w:rsidP="00C961AA">
      <w:pPr>
        <w:pStyle w:val="Heading1"/>
        <w:jc w:val="both"/>
        <w:rPr>
          <w:rFonts w:cstheme="minorHAnsi"/>
          <w:bCs/>
          <w:iCs/>
          <w:lang w:val="es-MX"/>
        </w:rPr>
      </w:pPr>
      <w:r w:rsidRPr="001A5A94">
        <w:rPr>
          <w:rFonts w:cstheme="minorHAnsi"/>
          <w:u w:val="single"/>
          <w:lang w:val="es-MX"/>
        </w:rPr>
        <w:t>Arreglos de monitoreo</w:t>
      </w:r>
      <w:r w:rsidR="00CB6C83">
        <w:rPr>
          <w:rFonts w:cstheme="minorHAnsi"/>
          <w:u w:val="single"/>
          <w:lang w:val="es-MX"/>
        </w:rPr>
        <w:t>:</w:t>
      </w:r>
    </w:p>
    <w:p w14:paraId="54CAEE8F" w14:textId="0B532BB0" w:rsidR="00D65414" w:rsidRPr="001A5A94" w:rsidRDefault="00D65414" w:rsidP="00C961AA">
      <w:pPr>
        <w:pStyle w:val="ListParagraph"/>
        <w:spacing w:after="0"/>
        <w:ind w:left="360"/>
        <w:jc w:val="both"/>
        <w:rPr>
          <w:rFonts w:cstheme="minorHAnsi"/>
          <w:lang w:val="es-MX"/>
        </w:rPr>
      </w:pPr>
      <w:r w:rsidRPr="001A5A94">
        <w:rPr>
          <w:rFonts w:cstheme="minorHAnsi"/>
          <w:lang w:val="es-MX"/>
        </w:rPr>
        <w:t xml:space="preserve">El </w:t>
      </w:r>
      <w:proofErr w:type="spellStart"/>
      <w:r w:rsidRPr="001A5A94">
        <w:rPr>
          <w:rFonts w:cstheme="minorHAnsi"/>
          <w:lang w:val="es-MX"/>
        </w:rPr>
        <w:t>CSAT</w:t>
      </w:r>
      <w:proofErr w:type="spellEnd"/>
      <w:r w:rsidRPr="001A5A94">
        <w:rPr>
          <w:rFonts w:cstheme="minorHAnsi"/>
          <w:lang w:val="es-MX"/>
        </w:rPr>
        <w:t xml:space="preserve"> monitoreará y evaluará la efectividad de las medidas enumeradas anteriormente a través de la comunicación y coordinación regular con todo su personal, consultores, la Secretaría del </w:t>
      </w:r>
      <w:proofErr w:type="spellStart"/>
      <w:r w:rsidRPr="001A5A94">
        <w:rPr>
          <w:rFonts w:cstheme="minorHAnsi"/>
          <w:lang w:val="es-MX"/>
        </w:rPr>
        <w:t>CEPF</w:t>
      </w:r>
      <w:proofErr w:type="spellEnd"/>
      <w:r w:rsidRPr="001A5A94">
        <w:rPr>
          <w:rFonts w:cstheme="minorHAnsi"/>
          <w:lang w:val="es-MX"/>
        </w:rPr>
        <w:t xml:space="preserve">,  </w:t>
      </w:r>
      <w:proofErr w:type="spellStart"/>
      <w:r w:rsidRPr="001A5A94">
        <w:rPr>
          <w:rFonts w:cstheme="minorHAnsi"/>
          <w:lang w:val="es-MX"/>
        </w:rPr>
        <w:t>GPSA</w:t>
      </w:r>
      <w:proofErr w:type="spellEnd"/>
      <w:r w:rsidRPr="001A5A94">
        <w:rPr>
          <w:rFonts w:cstheme="minorHAnsi"/>
          <w:lang w:val="es-MX"/>
        </w:rPr>
        <w:t xml:space="preserve">, el </w:t>
      </w:r>
      <w:proofErr w:type="spellStart"/>
      <w:r w:rsidRPr="001A5A94">
        <w:rPr>
          <w:rFonts w:cstheme="minorHAnsi"/>
          <w:lang w:val="es-MX"/>
        </w:rPr>
        <w:t>RIT</w:t>
      </w:r>
      <w:proofErr w:type="spellEnd"/>
      <w:r w:rsidRPr="001A5A94">
        <w:rPr>
          <w:rFonts w:cstheme="minorHAnsi"/>
          <w:lang w:val="es-MX"/>
        </w:rPr>
        <w:t xml:space="preserve"> y las partes interesadas clave del proyecto, como las </w:t>
      </w:r>
      <w:proofErr w:type="spellStart"/>
      <w:r w:rsidRPr="001A5A94">
        <w:rPr>
          <w:rFonts w:cstheme="minorHAnsi"/>
          <w:lang w:val="es-MX"/>
        </w:rPr>
        <w:t>OSC</w:t>
      </w:r>
      <w:proofErr w:type="spellEnd"/>
      <w:r w:rsidRPr="001A5A94">
        <w:rPr>
          <w:rFonts w:cstheme="minorHAnsi"/>
          <w:lang w:val="es-MX"/>
        </w:rPr>
        <w:t xml:space="preserve">, las </w:t>
      </w:r>
      <w:r w:rsidR="00CB6C83">
        <w:rPr>
          <w:rFonts w:cstheme="minorHAnsi"/>
          <w:lang w:val="es-MX"/>
        </w:rPr>
        <w:t>ISP</w:t>
      </w:r>
      <w:r w:rsidRPr="001A5A94">
        <w:rPr>
          <w:rFonts w:cstheme="minorHAnsi"/>
          <w:lang w:val="es-MX"/>
        </w:rPr>
        <w:t xml:space="preserve"> y otros socios en el país. El </w:t>
      </w:r>
      <w:proofErr w:type="spellStart"/>
      <w:r w:rsidRPr="001A5A94">
        <w:rPr>
          <w:rFonts w:cstheme="minorHAnsi"/>
          <w:lang w:val="es-MX"/>
        </w:rPr>
        <w:t>CSAT</w:t>
      </w:r>
      <w:proofErr w:type="spellEnd"/>
      <w:r w:rsidRPr="001A5A94">
        <w:rPr>
          <w:rFonts w:cstheme="minorHAnsi"/>
          <w:lang w:val="es-MX"/>
        </w:rPr>
        <w:t xml:space="preserve"> informará sobre sus esfuerzos y resultados en informes semestrales a la Secretaría del </w:t>
      </w:r>
      <w:proofErr w:type="spellStart"/>
      <w:r w:rsidRPr="001A5A94">
        <w:rPr>
          <w:rFonts w:cstheme="minorHAnsi"/>
          <w:lang w:val="es-MX"/>
        </w:rPr>
        <w:t>CEPF</w:t>
      </w:r>
      <w:proofErr w:type="spellEnd"/>
      <w:r w:rsidRPr="001A5A94">
        <w:rPr>
          <w:rFonts w:cstheme="minorHAnsi"/>
          <w:lang w:val="es-MX"/>
        </w:rPr>
        <w:t>, así como en misiones de supervisión semestrales.</w:t>
      </w:r>
    </w:p>
    <w:p w14:paraId="11B66302" w14:textId="77777777" w:rsidR="00F06082" w:rsidRPr="001A5A94" w:rsidRDefault="00F06082" w:rsidP="00C961AA">
      <w:pPr>
        <w:jc w:val="both"/>
        <w:rPr>
          <w:rFonts w:cstheme="minorHAnsi"/>
          <w:bCs/>
          <w:iCs/>
          <w:lang w:val="es-MX"/>
        </w:rPr>
      </w:pPr>
    </w:p>
    <w:p w14:paraId="4A552D8C" w14:textId="0183F0E1" w:rsidR="00EC3FA6" w:rsidRPr="001A5A94" w:rsidRDefault="00F06082" w:rsidP="00C961AA">
      <w:pPr>
        <w:pStyle w:val="Heading1"/>
        <w:spacing w:before="0"/>
        <w:jc w:val="both"/>
        <w:rPr>
          <w:rFonts w:cstheme="minorHAnsi"/>
          <w:bCs/>
          <w:iCs/>
          <w:lang w:val="es-MX"/>
        </w:rPr>
      </w:pPr>
      <w:r w:rsidRPr="001A5A94">
        <w:rPr>
          <w:rFonts w:cstheme="minorHAnsi"/>
          <w:u w:val="single"/>
          <w:lang w:val="es-MX"/>
        </w:rPr>
        <w:t>Divulgación</w:t>
      </w:r>
      <w:r w:rsidR="00CB6C83">
        <w:rPr>
          <w:rFonts w:cstheme="minorHAnsi"/>
          <w:u w:val="single"/>
          <w:lang w:val="es-MX"/>
        </w:rPr>
        <w:t>:</w:t>
      </w:r>
    </w:p>
    <w:p w14:paraId="68C5E061" w14:textId="10BFB14B" w:rsidR="00EC3FA6" w:rsidRPr="001A5A94" w:rsidRDefault="00EC3FA6" w:rsidP="00CB6C83">
      <w:pPr>
        <w:pStyle w:val="Heading1"/>
        <w:numPr>
          <w:ilvl w:val="0"/>
          <w:numId w:val="0"/>
        </w:numPr>
        <w:spacing w:before="0"/>
        <w:ind w:left="360"/>
        <w:jc w:val="both"/>
        <w:rPr>
          <w:lang w:val="es-MX"/>
        </w:rPr>
      </w:pPr>
      <w:r w:rsidRPr="001A5A94">
        <w:rPr>
          <w:rFonts w:cstheme="minorHAnsi"/>
          <w:b w:val="0"/>
          <w:bCs/>
          <w:lang w:val="es-MX"/>
        </w:rPr>
        <w:t xml:space="preserve">Este plan estará disponible públicamente en el sitio web de </w:t>
      </w:r>
      <w:proofErr w:type="spellStart"/>
      <w:r w:rsidRPr="001A5A94">
        <w:rPr>
          <w:rFonts w:cstheme="minorHAnsi"/>
          <w:b w:val="0"/>
          <w:bCs/>
          <w:lang w:val="es-MX"/>
        </w:rPr>
        <w:t>INTEC</w:t>
      </w:r>
      <w:proofErr w:type="spellEnd"/>
      <w:r w:rsidRPr="001A5A94">
        <w:rPr>
          <w:rFonts w:cstheme="minorHAnsi"/>
          <w:b w:val="0"/>
          <w:bCs/>
          <w:lang w:val="es-MX"/>
        </w:rPr>
        <w:t xml:space="preserve"> y las medidas y pasos específicos dentro del plan se comunicarán a las partes interesadas según sea necesario (es decir, en la preparación de reuniones, talleres, eventos y otras reuniones en persona).</w:t>
      </w:r>
    </w:p>
    <w:p w14:paraId="4824028E" w14:textId="77777777" w:rsidR="00F06082" w:rsidRPr="001A5A94" w:rsidRDefault="00F06082" w:rsidP="00C961AA">
      <w:pPr>
        <w:jc w:val="both"/>
        <w:rPr>
          <w:lang w:val="es-MX"/>
        </w:rPr>
      </w:pPr>
    </w:p>
    <w:p w14:paraId="00B21D86" w14:textId="77777777" w:rsidR="00214B17" w:rsidRPr="001A5A94" w:rsidRDefault="00214B17" w:rsidP="00C961AA">
      <w:pPr>
        <w:jc w:val="both"/>
        <w:rPr>
          <w:lang w:val="es-MX"/>
        </w:rPr>
      </w:pPr>
    </w:p>
    <w:sectPr w:rsidR="00214B17" w:rsidRPr="001A5A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FEE2" w14:textId="77777777" w:rsidR="00916771" w:rsidRDefault="00916771" w:rsidP="00EC3FA6">
      <w:pPr>
        <w:spacing w:after="0" w:line="240" w:lineRule="auto"/>
      </w:pPr>
      <w:r>
        <w:separator/>
      </w:r>
    </w:p>
  </w:endnote>
  <w:endnote w:type="continuationSeparator" w:id="0">
    <w:p w14:paraId="2D5A8000" w14:textId="77777777" w:rsidR="00916771" w:rsidRDefault="00916771" w:rsidP="00EC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8C4D" w14:textId="77777777" w:rsidR="00540733" w:rsidRDefault="00540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D1C8" w14:textId="5BFF06B6" w:rsidR="00EC3FA6" w:rsidRDefault="00EC3FA6">
    <w:pPr>
      <w:pStyle w:val="Footer"/>
      <w:jc w:val="right"/>
    </w:pPr>
  </w:p>
  <w:sdt>
    <w:sdtPr>
      <w:rPr>
        <w:rFonts w:cstheme="minorHAnsi"/>
        <w:sz w:val="20"/>
        <w:szCs w:val="20"/>
      </w:rPr>
      <w:id w:val="-9488497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1B3ECA" w14:textId="5E7BEDB1" w:rsidR="00EC3FA6" w:rsidRPr="000A04D9" w:rsidRDefault="00EC3FA6" w:rsidP="00EC3FA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cstheme="minorHAnsi"/>
            <w:sz w:val="20"/>
            <w:szCs w:val="20"/>
          </w:rPr>
        </w:pPr>
        <w:r>
          <w:rPr>
            <w:rFonts w:cstheme="minorHAnsi"/>
            <w:sz w:val="20"/>
            <w:szCs w:val="20"/>
          </w:rPr>
          <w:t xml:space="preserve">   </w:t>
        </w:r>
        <w:r>
          <w:rPr>
            <w:rFonts w:eastAsiaTheme="majorEastAsia" w:cstheme="minorHAnsi"/>
            <w:spacing w:val="-10"/>
            <w:kern w:val="28"/>
            <w:sz w:val="20"/>
            <w:szCs w:val="20"/>
          </w:rPr>
          <w:t xml:space="preserve">Plan de Salud y Seguridad Comunitaria: </w:t>
        </w:r>
        <w:proofErr w:type="spellStart"/>
        <w:r>
          <w:rPr>
            <w:rFonts w:eastAsiaTheme="majorEastAsia" w:cstheme="minorHAnsi"/>
            <w:spacing w:val="-10"/>
            <w:kern w:val="28"/>
            <w:sz w:val="20"/>
            <w:szCs w:val="20"/>
          </w:rPr>
          <w:t>CEPF</w:t>
        </w:r>
        <w:proofErr w:type="spellEnd"/>
        <w:r>
          <w:rPr>
            <w:rFonts w:eastAsiaTheme="majorEastAsia" w:cstheme="minorHAnsi"/>
            <w:spacing w:val="-10"/>
            <w:kern w:val="28"/>
            <w:sz w:val="20"/>
            <w:szCs w:val="20"/>
          </w:rPr>
          <w:t xml:space="preserve">— Proyecto Colaborativo de Responsabilidad Social (P111512) </w:t>
        </w:r>
        <w:r w:rsidRPr="000A04D9">
          <w:rPr>
            <w:rFonts w:cstheme="minorHAnsi"/>
            <w:sz w:val="20"/>
            <w:szCs w:val="20"/>
          </w:rPr>
          <w:fldChar w:fldCharType="begin"/>
        </w:r>
        <w:r w:rsidRPr="000A04D9">
          <w:rPr>
            <w:rFonts w:cstheme="minorHAnsi"/>
            <w:sz w:val="20"/>
            <w:szCs w:val="20"/>
          </w:rPr>
          <w:instrText xml:space="preserve"> PAGE   \* MERGEFORMAT </w:instrText>
        </w:r>
        <w:r w:rsidRPr="000A04D9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14</w:t>
        </w:r>
        <w:r w:rsidRPr="000A04D9">
          <w:rPr>
            <w:rFonts w:cstheme="minorHAnsi"/>
            <w:noProof/>
            <w:sz w:val="20"/>
            <w:szCs w:val="20"/>
          </w:rPr>
          <w:fldChar w:fldCharType="end"/>
        </w:r>
        <w:r w:rsidRPr="000A04D9">
          <w:rPr>
            <w:rFonts w:cstheme="minorHAnsi"/>
            <w:sz w:val="20"/>
            <w:szCs w:val="20"/>
          </w:rPr>
          <w:t xml:space="preserve"> </w:t>
        </w:r>
      </w:p>
    </w:sdtContent>
  </w:sdt>
  <w:p w14:paraId="7C5A9141" w14:textId="77777777" w:rsidR="00EC3FA6" w:rsidRDefault="00EC3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64D1" w14:textId="77777777" w:rsidR="00540733" w:rsidRDefault="00540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3253" w14:textId="77777777" w:rsidR="00916771" w:rsidRDefault="00916771" w:rsidP="00EC3FA6">
      <w:pPr>
        <w:spacing w:after="0" w:line="240" w:lineRule="auto"/>
      </w:pPr>
      <w:r>
        <w:separator/>
      </w:r>
    </w:p>
  </w:footnote>
  <w:footnote w:type="continuationSeparator" w:id="0">
    <w:p w14:paraId="0CA7B234" w14:textId="77777777" w:rsidR="00916771" w:rsidRDefault="00916771" w:rsidP="00EC3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6C63" w14:textId="77777777" w:rsidR="00540733" w:rsidRDefault="00540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34C0" w14:textId="77777777" w:rsidR="00540733" w:rsidRDefault="00540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AF8E" w14:textId="77777777" w:rsidR="00540733" w:rsidRDefault="00540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5D8"/>
    <w:multiLevelType w:val="hybridMultilevel"/>
    <w:tmpl w:val="752A4FDC"/>
    <w:lvl w:ilvl="0" w:tplc="059C748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2B2D"/>
    <w:multiLevelType w:val="hybridMultilevel"/>
    <w:tmpl w:val="044AE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2ADE"/>
    <w:multiLevelType w:val="hybridMultilevel"/>
    <w:tmpl w:val="9566DA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F0F0B"/>
    <w:multiLevelType w:val="hybridMultilevel"/>
    <w:tmpl w:val="9162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C5756"/>
    <w:multiLevelType w:val="hybridMultilevel"/>
    <w:tmpl w:val="7A3E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D2ABF"/>
    <w:multiLevelType w:val="hybridMultilevel"/>
    <w:tmpl w:val="2162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7326C"/>
    <w:multiLevelType w:val="hybridMultilevel"/>
    <w:tmpl w:val="25742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077A5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24110767">
    <w:abstractNumId w:val="7"/>
  </w:num>
  <w:num w:numId="2" w16cid:durableId="280453832">
    <w:abstractNumId w:val="0"/>
  </w:num>
  <w:num w:numId="3" w16cid:durableId="1644774745">
    <w:abstractNumId w:val="0"/>
    <w:lvlOverride w:ilvl="0">
      <w:startOverride w:val="1"/>
    </w:lvlOverride>
  </w:num>
  <w:num w:numId="4" w16cid:durableId="2104953589">
    <w:abstractNumId w:val="6"/>
  </w:num>
  <w:num w:numId="5" w16cid:durableId="1477995458">
    <w:abstractNumId w:val="3"/>
  </w:num>
  <w:num w:numId="6" w16cid:durableId="1213081940">
    <w:abstractNumId w:val="1"/>
  </w:num>
  <w:num w:numId="7" w16cid:durableId="1005743252">
    <w:abstractNumId w:val="5"/>
  </w:num>
  <w:num w:numId="8" w16cid:durableId="1187519441">
    <w:abstractNumId w:val="2"/>
  </w:num>
  <w:num w:numId="9" w16cid:durableId="2002461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82"/>
    <w:rsid w:val="000041C3"/>
    <w:rsid w:val="00084718"/>
    <w:rsid w:val="0014760A"/>
    <w:rsid w:val="001A5A94"/>
    <w:rsid w:val="001D2ABB"/>
    <w:rsid w:val="00214B17"/>
    <w:rsid w:val="00351810"/>
    <w:rsid w:val="00386BFD"/>
    <w:rsid w:val="003D5D80"/>
    <w:rsid w:val="004331EF"/>
    <w:rsid w:val="00464512"/>
    <w:rsid w:val="004D3005"/>
    <w:rsid w:val="00514173"/>
    <w:rsid w:val="00540733"/>
    <w:rsid w:val="00554F7A"/>
    <w:rsid w:val="005877FF"/>
    <w:rsid w:val="006201B9"/>
    <w:rsid w:val="00916771"/>
    <w:rsid w:val="009D38C1"/>
    <w:rsid w:val="009F413B"/>
    <w:rsid w:val="00A2149E"/>
    <w:rsid w:val="00AB66FF"/>
    <w:rsid w:val="00B007AD"/>
    <w:rsid w:val="00B36AEB"/>
    <w:rsid w:val="00B93299"/>
    <w:rsid w:val="00C6494C"/>
    <w:rsid w:val="00C961AA"/>
    <w:rsid w:val="00CB6C83"/>
    <w:rsid w:val="00D65414"/>
    <w:rsid w:val="00E36A29"/>
    <w:rsid w:val="00EC3FA6"/>
    <w:rsid w:val="00EE7F5C"/>
    <w:rsid w:val="00F06082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850DE"/>
  <w15:chartTrackingRefBased/>
  <w15:docId w15:val="{3E8DD4A4-8D3F-4E07-B85F-8F5FA01B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82"/>
  </w:style>
  <w:style w:type="paragraph" w:styleId="Heading1">
    <w:name w:val="heading 1"/>
    <w:basedOn w:val="Normal"/>
    <w:next w:val="Normal"/>
    <w:link w:val="Heading1Char"/>
    <w:uiPriority w:val="9"/>
    <w:qFormat/>
    <w:rsid w:val="0008471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s,Paragraphe  revu,List Paragraph (numbered (a)),Numbered List Paragraph,Liste 1,List Paragraph1,List Bullet Mary,Celula,List Paragraph nowy,ReferencesCxSpLast,List_Paragraph,Multilevel para_II,List number Paragraph,Ha"/>
    <w:basedOn w:val="Normal"/>
    <w:link w:val="ListParagraphChar"/>
    <w:uiPriority w:val="34"/>
    <w:qFormat/>
    <w:rsid w:val="00F06082"/>
    <w:pPr>
      <w:ind w:left="720"/>
      <w:contextualSpacing/>
    </w:pPr>
  </w:style>
  <w:style w:type="character" w:customStyle="1" w:styleId="ListParagraphChar">
    <w:name w:val="List Paragraph Char"/>
    <w:aliases w:val="References Char,Bullets Char,Paragraphe  revu Char,List Paragraph (numbered (a)) Char,Numbered List Paragraph Char,Liste 1 Char,List Paragraph1 Char,List Bullet Mary Char,Celula Char,List Paragraph nowy Char,ReferencesCxSpLast Char"/>
    <w:basedOn w:val="DefaultParagraphFont"/>
    <w:link w:val="ListParagraph"/>
    <w:uiPriority w:val="34"/>
    <w:qFormat/>
    <w:rsid w:val="00F06082"/>
    <w:rPr>
      <w:lang w:val="es"/>
    </w:rPr>
  </w:style>
  <w:style w:type="character" w:customStyle="1" w:styleId="Heading1Char">
    <w:name w:val="Heading 1 Char"/>
    <w:basedOn w:val="DefaultParagraphFont"/>
    <w:link w:val="Heading1"/>
    <w:uiPriority w:val="9"/>
    <w:rsid w:val="00084718"/>
    <w:rPr>
      <w:rFonts w:eastAsiaTheme="majorEastAsia" w:cstheme="majorBidi"/>
      <w:b/>
      <w:szCs w:val="32"/>
      <w:lang w:val="es"/>
    </w:rPr>
  </w:style>
  <w:style w:type="table" w:styleId="TableGrid">
    <w:name w:val="Table Grid"/>
    <w:basedOn w:val="TableNormal"/>
    <w:uiPriority w:val="39"/>
    <w:rsid w:val="0008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66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FA6"/>
    <w:rPr>
      <w:lang w:val="es"/>
    </w:rPr>
  </w:style>
  <w:style w:type="paragraph" w:styleId="Footer">
    <w:name w:val="footer"/>
    <w:basedOn w:val="Normal"/>
    <w:link w:val="FooterChar"/>
    <w:uiPriority w:val="99"/>
    <w:unhideWhenUsed/>
    <w:rsid w:val="00EC3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FA6"/>
    <w:rPr>
      <w:lang w:val="es"/>
    </w:rPr>
  </w:style>
  <w:style w:type="character" w:styleId="CommentReference">
    <w:name w:val="annotation reference"/>
    <w:basedOn w:val="DefaultParagraphFont"/>
    <w:uiPriority w:val="99"/>
    <w:semiHidden/>
    <w:unhideWhenUsed/>
    <w:rsid w:val="00C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4C"/>
    <w:rPr>
      <w:sz w:val="20"/>
      <w:szCs w:val="20"/>
      <w:lang w:val="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4C"/>
    <w:rPr>
      <w:b/>
      <w:bCs/>
      <w:sz w:val="20"/>
      <w:szCs w:val="20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.org/dyn/normlex/en/f?p=NORMLEXPUB:12100:0::NO:12100:P12100_INSTRUMENT_ID:312300:N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who.int/iris/bitstream/handle/10665/258604/9789241512299-eng.pdf?sequence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pps.who.int/iris/bitstream/handle/10665/246107/9789241580496-eng.pdf?sequence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lo.org/dyn/normlex/en/f?p=NORMLEXPUB:12100:0::NO:12100:P12100_ILO_CODE:C16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Bird</dc:creator>
  <cp:keywords/>
  <dc:description/>
  <cp:lastModifiedBy>Maria Calderon</cp:lastModifiedBy>
  <cp:revision>10</cp:revision>
  <dcterms:created xsi:type="dcterms:W3CDTF">2021-07-14T18:41:00Z</dcterms:created>
  <dcterms:modified xsi:type="dcterms:W3CDTF">2022-04-18T16:18:00Z</dcterms:modified>
</cp:coreProperties>
</file>