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0E4B" w14:textId="77777777" w:rsidR="00F06082" w:rsidRPr="00182C8B" w:rsidRDefault="00F06082" w:rsidP="00C961AA">
      <w:pPr>
        <w:spacing w:after="0"/>
        <w:jc w:val="both"/>
        <w:rPr>
          <w:rFonts w:cstheme="minorHAnsi"/>
          <w:b/>
          <w:bCs/>
        </w:rPr>
      </w:pPr>
    </w:p>
    <w:p w14:paraId="6928E614" w14:textId="5E83015D" w:rsidR="00F06082" w:rsidRDefault="00F06082" w:rsidP="00C961AA">
      <w:pPr>
        <w:shd w:val="clear" w:color="auto" w:fill="FFFFFF"/>
        <w:jc w:val="both"/>
        <w:rPr>
          <w:rFonts w:ascii="Arial" w:hAnsi="Arial" w:cs="Arial"/>
          <w:color w:val="222222"/>
        </w:rPr>
      </w:pPr>
      <w:r>
        <w:rPr>
          <w:noProof/>
        </w:rPr>
        <w:drawing>
          <wp:anchor distT="0" distB="0" distL="114300" distR="114300" simplePos="0" relativeHeight="251659264" behindDoc="0" locked="0" layoutInCell="1" allowOverlap="1" wp14:anchorId="09DBC76A" wp14:editId="62D827BF">
            <wp:simplePos x="0" y="0"/>
            <wp:positionH relativeFrom="column">
              <wp:posOffset>-32385</wp:posOffset>
            </wp:positionH>
            <wp:positionV relativeFrom="paragraph">
              <wp:posOffset>0</wp:posOffset>
            </wp:positionV>
            <wp:extent cx="2098675" cy="696595"/>
            <wp:effectExtent l="0" t="0" r="0" b="8255"/>
            <wp:wrapSquare wrapText="bothSides"/>
            <wp:docPr id="1792001987"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8675" cy="6965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222222"/>
        </w:rPr>
        <w:t> </w:t>
      </w:r>
    </w:p>
    <w:p w14:paraId="610F89A5" w14:textId="77777777" w:rsidR="00F06082" w:rsidRDefault="00F06082" w:rsidP="00C961AA">
      <w:pPr>
        <w:jc w:val="both"/>
        <w:rPr>
          <w:rFonts w:asciiTheme="majorHAnsi" w:hAnsiTheme="majorHAnsi"/>
          <w:noProof/>
          <w:color w:val="0D0D0D" w:themeColor="text1" w:themeTint="F2"/>
          <w:sz w:val="30"/>
          <w:szCs w:val="30"/>
        </w:rPr>
      </w:pPr>
    </w:p>
    <w:p w14:paraId="2C206CDD" w14:textId="77777777" w:rsidR="00F06082" w:rsidRDefault="00F06082" w:rsidP="00C961AA">
      <w:pPr>
        <w:jc w:val="both"/>
        <w:rPr>
          <w:rFonts w:asciiTheme="majorHAnsi" w:hAnsiTheme="majorHAnsi"/>
          <w:noProof/>
          <w:color w:val="0D0D0D" w:themeColor="text1" w:themeTint="F2"/>
          <w:sz w:val="30"/>
          <w:szCs w:val="30"/>
        </w:rPr>
      </w:pPr>
    </w:p>
    <w:p w14:paraId="72FD1FAA" w14:textId="77777777" w:rsidR="00F06082" w:rsidRDefault="00F06082" w:rsidP="00C961AA">
      <w:pPr>
        <w:jc w:val="both"/>
        <w:rPr>
          <w:rFonts w:asciiTheme="majorHAnsi" w:hAnsiTheme="majorHAnsi"/>
          <w:noProof/>
          <w:color w:val="0D0D0D" w:themeColor="text1" w:themeTint="F2"/>
          <w:sz w:val="30"/>
          <w:szCs w:val="30"/>
        </w:rPr>
      </w:pPr>
    </w:p>
    <w:p w14:paraId="73B4C49A" w14:textId="77777777" w:rsidR="00F06082" w:rsidRDefault="00F06082" w:rsidP="00C961AA">
      <w:pPr>
        <w:jc w:val="both"/>
        <w:rPr>
          <w:rFonts w:asciiTheme="majorHAnsi" w:hAnsiTheme="majorHAnsi"/>
          <w:noProof/>
          <w:color w:val="0D0D0D" w:themeColor="text1" w:themeTint="F2"/>
          <w:sz w:val="30"/>
          <w:szCs w:val="30"/>
        </w:rPr>
      </w:pPr>
    </w:p>
    <w:p w14:paraId="60872A19" w14:textId="77777777" w:rsidR="00EC3FA6" w:rsidRPr="00182C8B" w:rsidRDefault="00EC3FA6" w:rsidP="00C961AA">
      <w:pPr>
        <w:spacing w:after="0"/>
        <w:jc w:val="both"/>
        <w:rPr>
          <w:rFonts w:cstheme="minorHAnsi"/>
          <w:b/>
          <w:bCs/>
          <w:sz w:val="28"/>
          <w:szCs w:val="28"/>
        </w:rPr>
      </w:pPr>
      <w:r>
        <w:rPr>
          <w:rFonts w:cstheme="minorHAnsi"/>
          <w:b/>
          <w:bCs/>
          <w:sz w:val="28"/>
          <w:szCs w:val="28"/>
        </w:rPr>
        <w:t>Community Health and Safety Plan</w:t>
      </w:r>
    </w:p>
    <w:p w14:paraId="57D998D0" w14:textId="77777777" w:rsidR="00F06082" w:rsidRDefault="00F06082" w:rsidP="00C961AA">
      <w:pPr>
        <w:jc w:val="both"/>
        <w:rPr>
          <w:rFonts w:asciiTheme="majorHAnsi" w:hAnsiTheme="majorHAnsi"/>
          <w:noProof/>
          <w:color w:val="0D0D0D" w:themeColor="text1" w:themeTint="F2"/>
          <w:sz w:val="30"/>
          <w:szCs w:val="30"/>
        </w:rPr>
      </w:pPr>
    </w:p>
    <w:p w14:paraId="51C85AEC" w14:textId="77777777" w:rsidR="00F06082" w:rsidRDefault="00F06082" w:rsidP="00C961AA">
      <w:pPr>
        <w:jc w:val="both"/>
        <w:rPr>
          <w:rFonts w:asciiTheme="majorHAnsi" w:hAnsiTheme="majorHAnsi"/>
          <w:noProof/>
          <w:color w:val="0D0D0D" w:themeColor="text1" w:themeTint="F2"/>
          <w:sz w:val="30"/>
          <w:szCs w:val="30"/>
        </w:rPr>
      </w:pPr>
    </w:p>
    <w:p w14:paraId="0E54F724" w14:textId="02CB9C1D" w:rsidR="00F06082" w:rsidRPr="001A4BAD" w:rsidRDefault="00F06082" w:rsidP="00C961AA">
      <w:pPr>
        <w:jc w:val="both"/>
        <w:rPr>
          <w:rFonts w:cstheme="minorHAnsi"/>
          <w:noProof/>
          <w:sz w:val="24"/>
          <w:szCs w:val="24"/>
        </w:rPr>
      </w:pPr>
      <w:r w:rsidRPr="001A4BAD">
        <w:rPr>
          <w:rFonts w:cstheme="minorHAnsi"/>
          <w:noProof/>
          <w:sz w:val="24"/>
          <w:szCs w:val="24"/>
        </w:rPr>
        <w:t>July 1</w:t>
      </w:r>
      <w:r w:rsidR="00C961AA">
        <w:rPr>
          <w:rFonts w:cstheme="minorHAnsi"/>
          <w:noProof/>
          <w:sz w:val="24"/>
          <w:szCs w:val="24"/>
        </w:rPr>
        <w:t>6</w:t>
      </w:r>
      <w:r w:rsidRPr="001A4BAD">
        <w:rPr>
          <w:rFonts w:cstheme="minorHAnsi"/>
          <w:noProof/>
          <w:sz w:val="24"/>
          <w:szCs w:val="24"/>
        </w:rPr>
        <w:t>, 2021</w:t>
      </w:r>
    </w:p>
    <w:p w14:paraId="6C99C6AA" w14:textId="77777777" w:rsidR="00F06082" w:rsidRDefault="00F06082" w:rsidP="00C961AA">
      <w:pPr>
        <w:jc w:val="both"/>
        <w:rPr>
          <w:rFonts w:cstheme="minorHAnsi"/>
          <w:b/>
          <w:bCs/>
          <w:color w:val="202124"/>
          <w:sz w:val="24"/>
          <w:szCs w:val="24"/>
          <w:shd w:val="clear" w:color="auto" w:fill="FFFFFF"/>
        </w:rPr>
      </w:pPr>
      <w:r w:rsidRPr="001A4BAD">
        <w:rPr>
          <w:rFonts w:cstheme="minorHAnsi"/>
          <w:b/>
          <w:bCs/>
          <w:sz w:val="24"/>
          <w:szCs w:val="24"/>
        </w:rPr>
        <w:t xml:space="preserve">CEPF Grant </w:t>
      </w:r>
      <w:r w:rsidRPr="001A4BAD">
        <w:rPr>
          <w:rFonts w:cstheme="minorHAnsi"/>
          <w:b/>
          <w:bCs/>
          <w:color w:val="202124"/>
          <w:sz w:val="24"/>
          <w:szCs w:val="24"/>
          <w:shd w:val="clear" w:color="auto" w:fill="FFFFFF"/>
        </w:rPr>
        <w:t>111512</w:t>
      </w:r>
    </w:p>
    <w:p w14:paraId="62675680" w14:textId="77777777" w:rsidR="00F06082" w:rsidRPr="001A4BAD" w:rsidRDefault="00F06082" w:rsidP="00C961AA">
      <w:pPr>
        <w:jc w:val="both"/>
        <w:rPr>
          <w:rFonts w:cstheme="minorHAnsi"/>
          <w:noProof/>
          <w:sz w:val="24"/>
          <w:szCs w:val="24"/>
        </w:rPr>
      </w:pPr>
    </w:p>
    <w:p w14:paraId="316E5853" w14:textId="77777777" w:rsidR="00F06082" w:rsidRPr="001A4BAD" w:rsidRDefault="00F06082" w:rsidP="00C961AA">
      <w:pPr>
        <w:jc w:val="both"/>
        <w:rPr>
          <w:rFonts w:eastAsiaTheme="majorEastAsia" w:cstheme="minorHAnsi"/>
          <w:spacing w:val="-10"/>
          <w:kern w:val="28"/>
          <w:sz w:val="24"/>
          <w:szCs w:val="24"/>
        </w:rPr>
      </w:pPr>
      <w:r w:rsidRPr="001A4BAD">
        <w:rPr>
          <w:rFonts w:eastAsiaTheme="majorEastAsia" w:cstheme="minorHAnsi"/>
          <w:spacing w:val="-10"/>
          <w:kern w:val="28"/>
          <w:sz w:val="24"/>
          <w:szCs w:val="24"/>
        </w:rPr>
        <w:t>Instituto Tecnológico de Santo Domingo (INTEC)</w:t>
      </w:r>
      <w:r>
        <w:rPr>
          <w:rFonts w:eastAsiaTheme="majorEastAsia" w:cstheme="minorHAnsi"/>
          <w:spacing w:val="-10"/>
          <w:kern w:val="28"/>
          <w:sz w:val="24"/>
          <w:szCs w:val="24"/>
        </w:rPr>
        <w:t xml:space="preserve"> and Integrated Health Outreach Inc. (IHO)</w:t>
      </w:r>
    </w:p>
    <w:p w14:paraId="713F2A3D" w14:textId="77777777" w:rsidR="00F06082" w:rsidRPr="001A4BAD" w:rsidRDefault="00F06082" w:rsidP="00C961AA">
      <w:pPr>
        <w:jc w:val="both"/>
        <w:rPr>
          <w:rFonts w:eastAsiaTheme="majorEastAsia" w:cstheme="minorHAnsi"/>
          <w:spacing w:val="-10"/>
          <w:kern w:val="28"/>
          <w:sz w:val="24"/>
          <w:szCs w:val="24"/>
        </w:rPr>
      </w:pPr>
    </w:p>
    <w:p w14:paraId="1988C40A" w14:textId="3C94826E" w:rsidR="00F06082" w:rsidRPr="001A4BAD" w:rsidRDefault="000041C3" w:rsidP="00C961AA">
      <w:pPr>
        <w:jc w:val="both"/>
        <w:rPr>
          <w:rFonts w:eastAsiaTheme="majorEastAsia" w:cstheme="minorHAnsi"/>
          <w:spacing w:val="-10"/>
          <w:kern w:val="28"/>
          <w:sz w:val="24"/>
          <w:szCs w:val="24"/>
        </w:rPr>
      </w:pPr>
      <w:r w:rsidRPr="000041C3">
        <w:rPr>
          <w:rFonts w:eastAsiaTheme="majorEastAsia" w:cstheme="minorHAnsi"/>
          <w:spacing w:val="-10"/>
          <w:kern w:val="28"/>
          <w:sz w:val="24"/>
          <w:szCs w:val="24"/>
        </w:rPr>
        <w:t>COLLABORATIVE SOCIAL ACCOUNTABILITY FOR IMPROVED GOVERNANCE IN PROTECTING BIODIVERSITY IN THE CARIBBEAN ISLANDS BIODIVERSITY HOTSPOT</w:t>
      </w:r>
      <w:r>
        <w:rPr>
          <w:rFonts w:eastAsiaTheme="majorEastAsia" w:cstheme="minorHAnsi"/>
          <w:spacing w:val="-10"/>
          <w:kern w:val="28"/>
          <w:sz w:val="24"/>
          <w:szCs w:val="24"/>
        </w:rPr>
        <w:t xml:space="preserve"> PROJECT</w:t>
      </w:r>
    </w:p>
    <w:p w14:paraId="2ED58528" w14:textId="77777777" w:rsidR="00F06082" w:rsidRPr="001A4BAD" w:rsidRDefault="00F06082" w:rsidP="00C961AA">
      <w:pPr>
        <w:jc w:val="both"/>
        <w:rPr>
          <w:rFonts w:cstheme="minorHAnsi"/>
          <w:sz w:val="24"/>
          <w:szCs w:val="24"/>
        </w:rPr>
      </w:pPr>
      <w:r w:rsidRPr="001A4BAD">
        <w:rPr>
          <w:rFonts w:eastAsiaTheme="majorEastAsia" w:cstheme="minorHAnsi"/>
          <w:spacing w:val="-10"/>
          <w:kern w:val="28"/>
          <w:sz w:val="24"/>
          <w:szCs w:val="24"/>
        </w:rPr>
        <w:t>Dominican Republic, Antigua and Barbuda, Jamaica, and Saint Lucia</w:t>
      </w:r>
    </w:p>
    <w:p w14:paraId="382330B7" w14:textId="77777777" w:rsidR="00F06082" w:rsidRPr="00182C8B" w:rsidRDefault="00F06082" w:rsidP="00C961AA">
      <w:pPr>
        <w:jc w:val="both"/>
        <w:rPr>
          <w:rFonts w:cstheme="minorHAnsi"/>
          <w:b/>
          <w:bCs/>
          <w:iCs/>
        </w:rPr>
      </w:pPr>
      <w:r>
        <w:rPr>
          <w:rFonts w:cstheme="minorHAnsi"/>
          <w:b/>
          <w:bCs/>
          <w:iCs/>
          <w:u w:val="single"/>
        </w:rPr>
        <w:br w:type="column"/>
      </w:r>
      <w:r w:rsidRPr="00182C8B">
        <w:rPr>
          <w:rFonts w:cstheme="minorHAnsi"/>
          <w:b/>
          <w:bCs/>
          <w:iCs/>
          <w:u w:val="single"/>
        </w:rPr>
        <w:lastRenderedPageBreak/>
        <w:t>Grant Summary</w:t>
      </w:r>
    </w:p>
    <w:p w14:paraId="507702B8" w14:textId="77777777" w:rsidR="00084718" w:rsidRPr="00C6494C" w:rsidRDefault="00084718" w:rsidP="00C961AA">
      <w:pPr>
        <w:pStyle w:val="Heading1"/>
        <w:numPr>
          <w:ilvl w:val="0"/>
          <w:numId w:val="3"/>
        </w:numPr>
        <w:tabs>
          <w:tab w:val="num" w:pos="451"/>
        </w:tabs>
        <w:ind w:left="357" w:hanging="357"/>
        <w:jc w:val="both"/>
        <w:rPr>
          <w:rFonts w:cstheme="minorHAnsi"/>
          <w:lang w:val="es-419"/>
        </w:rPr>
      </w:pPr>
      <w:bookmarkStart w:id="0" w:name="_Toc76399742"/>
      <w:bookmarkStart w:id="1" w:name="_Toc76813854"/>
      <w:r w:rsidRPr="00C6494C">
        <w:rPr>
          <w:rStyle w:val="Heading1Char"/>
          <w:rFonts w:cstheme="minorHAnsi"/>
          <w:b/>
          <w:bCs/>
          <w:szCs w:val="22"/>
          <w:lang w:val="es-419"/>
        </w:rPr>
        <w:t>Grantee organization</w:t>
      </w:r>
      <w:bookmarkEnd w:id="0"/>
      <w:r w:rsidRPr="00C6494C">
        <w:rPr>
          <w:rFonts w:cstheme="minorHAnsi"/>
          <w:b w:val="0"/>
          <w:bCs/>
          <w:szCs w:val="22"/>
          <w:lang w:val="es-419"/>
        </w:rPr>
        <w:t>:</w:t>
      </w:r>
      <w:r w:rsidRPr="00C6494C">
        <w:rPr>
          <w:rFonts w:cstheme="minorHAnsi"/>
          <w:szCs w:val="22"/>
          <w:lang w:val="es-419"/>
        </w:rPr>
        <w:t xml:space="preserve"> </w:t>
      </w:r>
      <w:r w:rsidRPr="00C6494C">
        <w:rPr>
          <w:b w:val="0"/>
          <w:bCs/>
          <w:lang w:val="es-419"/>
        </w:rPr>
        <w:t>Instituto Tecnológico de Santo Domingo (INTEC)</w:t>
      </w:r>
      <w:bookmarkEnd w:id="1"/>
      <w:r w:rsidRPr="00C6494C">
        <w:rPr>
          <w:lang w:val="es-419"/>
        </w:rPr>
        <w:t xml:space="preserve"> </w:t>
      </w:r>
    </w:p>
    <w:p w14:paraId="00B037EC" w14:textId="31E676F8" w:rsidR="00084718" w:rsidRPr="004D7E39" w:rsidRDefault="00084718" w:rsidP="00C961AA">
      <w:pPr>
        <w:pStyle w:val="ListParagraph"/>
        <w:numPr>
          <w:ilvl w:val="0"/>
          <w:numId w:val="2"/>
        </w:numPr>
        <w:ind w:left="357" w:hanging="357"/>
        <w:jc w:val="both"/>
        <w:rPr>
          <w:rFonts w:cstheme="minorHAnsi"/>
        </w:rPr>
      </w:pPr>
      <w:bookmarkStart w:id="2" w:name="_Toc76399743"/>
      <w:bookmarkStart w:id="3" w:name="_Toc76813855"/>
      <w:r>
        <w:rPr>
          <w:rStyle w:val="Heading1Char"/>
          <w:rFonts w:cstheme="minorHAnsi"/>
        </w:rPr>
        <w:t>Pro</w:t>
      </w:r>
      <w:r w:rsidRPr="004D7E39">
        <w:rPr>
          <w:rStyle w:val="Heading1Char"/>
          <w:rFonts w:cstheme="minorHAnsi"/>
          <w:szCs w:val="22"/>
        </w:rPr>
        <w:t>ject title</w:t>
      </w:r>
      <w:bookmarkEnd w:id="2"/>
      <w:bookmarkEnd w:id="3"/>
      <w:r w:rsidRPr="004D7E39">
        <w:rPr>
          <w:rFonts w:cstheme="minorHAnsi"/>
          <w:b/>
          <w:bCs/>
        </w:rPr>
        <w:t>:</w:t>
      </w:r>
      <w:r w:rsidRPr="004D7E39">
        <w:rPr>
          <w:rFonts w:cstheme="minorHAnsi"/>
        </w:rPr>
        <w:t xml:space="preserve"> </w:t>
      </w:r>
      <w:r w:rsidR="00C961AA" w:rsidRPr="00C961AA">
        <w:t>COLLABORATIVE SOCIAL ACCOUNTABILITY FOR IMPROVED GOVERNANCE IN PROTECTING BIODIVERSITY IN THE CARIBBEAN ISLANDS BIODIVERSITY HOTSPOT</w:t>
      </w:r>
    </w:p>
    <w:p w14:paraId="035DFB81" w14:textId="77777777" w:rsidR="00084718" w:rsidRPr="004D7E39" w:rsidRDefault="00084718" w:rsidP="00C961AA">
      <w:pPr>
        <w:pStyle w:val="ListParagraph"/>
        <w:numPr>
          <w:ilvl w:val="0"/>
          <w:numId w:val="2"/>
        </w:numPr>
        <w:ind w:left="361"/>
        <w:jc w:val="both"/>
        <w:rPr>
          <w:rFonts w:cstheme="minorHAnsi"/>
        </w:rPr>
      </w:pPr>
      <w:bookmarkStart w:id="4" w:name="_Toc76399744"/>
      <w:bookmarkStart w:id="5" w:name="_Toc76813856"/>
      <w:r w:rsidRPr="004D7E39">
        <w:rPr>
          <w:rStyle w:val="Heading1Char"/>
          <w:rFonts w:cstheme="minorHAnsi"/>
          <w:szCs w:val="22"/>
        </w:rPr>
        <w:t>Grant number</w:t>
      </w:r>
      <w:bookmarkEnd w:id="4"/>
      <w:bookmarkEnd w:id="5"/>
      <w:r w:rsidRPr="004D7E39">
        <w:rPr>
          <w:rFonts w:cstheme="minorHAnsi"/>
        </w:rPr>
        <w:t>: 1</w:t>
      </w:r>
      <w:r>
        <w:rPr>
          <w:rFonts w:cstheme="minorHAnsi"/>
        </w:rPr>
        <w:t>11512</w:t>
      </w:r>
    </w:p>
    <w:p w14:paraId="47864221" w14:textId="77777777" w:rsidR="00084718" w:rsidRPr="004D7E39" w:rsidRDefault="00084718" w:rsidP="00C961AA">
      <w:pPr>
        <w:pStyle w:val="ListParagraph"/>
        <w:numPr>
          <w:ilvl w:val="0"/>
          <w:numId w:val="2"/>
        </w:numPr>
        <w:ind w:left="361"/>
        <w:jc w:val="both"/>
        <w:rPr>
          <w:rFonts w:cstheme="minorHAnsi"/>
        </w:rPr>
      </w:pPr>
      <w:bookmarkStart w:id="6" w:name="_Toc76399745"/>
      <w:bookmarkStart w:id="7" w:name="_Toc76813857"/>
      <w:r w:rsidRPr="004D7E39">
        <w:rPr>
          <w:rStyle w:val="Heading1Char"/>
          <w:rFonts w:cstheme="minorHAnsi"/>
          <w:szCs w:val="22"/>
        </w:rPr>
        <w:t>Grant amount (US dollars</w:t>
      </w:r>
      <w:bookmarkEnd w:id="6"/>
      <w:bookmarkEnd w:id="7"/>
      <w:r w:rsidRPr="004D7E39">
        <w:rPr>
          <w:rFonts w:cstheme="minorHAnsi"/>
        </w:rPr>
        <w:t>): $500,000</w:t>
      </w:r>
    </w:p>
    <w:p w14:paraId="04A3CF28" w14:textId="23BB89B1" w:rsidR="00084718" w:rsidRPr="004D7E39" w:rsidRDefault="00084718" w:rsidP="00C961AA">
      <w:pPr>
        <w:pStyle w:val="ListParagraph"/>
        <w:numPr>
          <w:ilvl w:val="0"/>
          <w:numId w:val="2"/>
        </w:numPr>
        <w:ind w:left="361"/>
        <w:jc w:val="both"/>
        <w:rPr>
          <w:rFonts w:cstheme="minorHAnsi"/>
        </w:rPr>
      </w:pPr>
      <w:bookmarkStart w:id="8" w:name="_Toc76399746"/>
      <w:bookmarkStart w:id="9" w:name="_Toc76813858"/>
      <w:r w:rsidRPr="004D7E39">
        <w:rPr>
          <w:rStyle w:val="Heading1Char"/>
          <w:rFonts w:cstheme="minorHAnsi"/>
          <w:szCs w:val="22"/>
        </w:rPr>
        <w:t>Proposed dates of grant</w:t>
      </w:r>
      <w:bookmarkEnd w:id="8"/>
      <w:bookmarkEnd w:id="9"/>
      <w:r w:rsidRPr="004D7E39">
        <w:rPr>
          <w:rFonts w:cstheme="minorHAnsi"/>
        </w:rPr>
        <w:t xml:space="preserve">: </w:t>
      </w:r>
      <w:r>
        <w:rPr>
          <w:rFonts w:cstheme="minorHAnsi"/>
        </w:rPr>
        <w:t xml:space="preserve">August </w:t>
      </w:r>
      <w:r w:rsidRPr="004D7E39">
        <w:rPr>
          <w:rFonts w:cstheme="minorHAnsi"/>
        </w:rPr>
        <w:t>1, 2021 – Ju</w:t>
      </w:r>
      <w:r>
        <w:rPr>
          <w:rFonts w:cstheme="minorHAnsi"/>
        </w:rPr>
        <w:t xml:space="preserve">ly </w:t>
      </w:r>
      <w:r w:rsidR="00B93299">
        <w:rPr>
          <w:rFonts w:cstheme="minorHAnsi"/>
        </w:rPr>
        <w:t>3</w:t>
      </w:r>
      <w:r>
        <w:rPr>
          <w:rFonts w:cstheme="minorHAnsi"/>
        </w:rPr>
        <w:t>1</w:t>
      </w:r>
      <w:r w:rsidRPr="004D7E39">
        <w:rPr>
          <w:rFonts w:cstheme="minorHAnsi"/>
        </w:rPr>
        <w:t>, 202</w:t>
      </w:r>
      <w:r>
        <w:rPr>
          <w:rFonts w:cstheme="minorHAnsi"/>
        </w:rPr>
        <w:t>5</w:t>
      </w:r>
    </w:p>
    <w:p w14:paraId="1B4ED99F" w14:textId="77777777" w:rsidR="00084718" w:rsidRPr="004D7E39" w:rsidRDefault="00084718" w:rsidP="00C961AA">
      <w:pPr>
        <w:pStyle w:val="ListParagraph"/>
        <w:numPr>
          <w:ilvl w:val="0"/>
          <w:numId w:val="2"/>
        </w:numPr>
        <w:ind w:left="361"/>
        <w:jc w:val="both"/>
        <w:rPr>
          <w:rFonts w:cstheme="minorHAnsi"/>
        </w:rPr>
      </w:pPr>
      <w:bookmarkStart w:id="10" w:name="_Toc76399747"/>
      <w:bookmarkStart w:id="11" w:name="_Toc76813859"/>
      <w:r w:rsidRPr="004D7E39">
        <w:rPr>
          <w:rStyle w:val="Heading1Char"/>
          <w:rFonts w:cstheme="minorHAnsi"/>
          <w:szCs w:val="22"/>
        </w:rPr>
        <w:t>Countries where activities will be undertaken</w:t>
      </w:r>
      <w:bookmarkEnd w:id="10"/>
      <w:bookmarkEnd w:id="11"/>
      <w:r w:rsidRPr="004D7E39">
        <w:rPr>
          <w:rFonts w:cstheme="minorHAnsi"/>
          <w:b/>
          <w:bCs/>
        </w:rPr>
        <w:t>:</w:t>
      </w:r>
      <w:r w:rsidRPr="004D7E39">
        <w:rPr>
          <w:rFonts w:cstheme="minorHAnsi"/>
        </w:rPr>
        <w:t xml:space="preserve"> Antigua and Barbuda, Dominican Republic, Jamaica, </w:t>
      </w:r>
      <w:r>
        <w:rPr>
          <w:rFonts w:cstheme="minorHAnsi"/>
        </w:rPr>
        <w:t xml:space="preserve">and </w:t>
      </w:r>
      <w:r w:rsidRPr="004D7E39">
        <w:rPr>
          <w:rFonts w:cstheme="minorHAnsi"/>
        </w:rPr>
        <w:t>Saint Lucia</w:t>
      </w:r>
      <w:r>
        <w:rPr>
          <w:rFonts w:cstheme="minorHAnsi"/>
        </w:rPr>
        <w:t>.</w:t>
      </w:r>
    </w:p>
    <w:p w14:paraId="3AFF630E" w14:textId="77777777" w:rsidR="00084718" w:rsidRPr="009C55A3" w:rsidRDefault="00084718" w:rsidP="00C961AA">
      <w:pPr>
        <w:pStyle w:val="ListParagraph"/>
        <w:numPr>
          <w:ilvl w:val="0"/>
          <w:numId w:val="2"/>
        </w:numPr>
        <w:ind w:left="361"/>
        <w:jc w:val="both"/>
      </w:pPr>
      <w:bookmarkStart w:id="12" w:name="_Toc76399748"/>
      <w:bookmarkStart w:id="13" w:name="_Toc76813860"/>
      <w:r w:rsidRPr="009C55A3">
        <w:rPr>
          <w:rStyle w:val="Heading1Char"/>
          <w:rFonts w:cstheme="minorHAnsi"/>
          <w:szCs w:val="22"/>
        </w:rPr>
        <w:t>Date of preparation of this document</w:t>
      </w:r>
      <w:bookmarkEnd w:id="12"/>
      <w:bookmarkEnd w:id="13"/>
      <w:r w:rsidRPr="009C55A3">
        <w:rPr>
          <w:rFonts w:cstheme="minorHAnsi"/>
        </w:rPr>
        <w:t>: July 2021</w:t>
      </w:r>
    </w:p>
    <w:p w14:paraId="10392EE6" w14:textId="77777777" w:rsidR="00F06082" w:rsidRPr="008A4988" w:rsidRDefault="00F06082" w:rsidP="00C961AA">
      <w:pPr>
        <w:pStyle w:val="ListParagraph"/>
        <w:spacing w:after="0"/>
        <w:ind w:left="360"/>
        <w:contextualSpacing w:val="0"/>
        <w:jc w:val="both"/>
        <w:rPr>
          <w:rFonts w:cstheme="minorHAnsi"/>
        </w:rPr>
      </w:pPr>
    </w:p>
    <w:p w14:paraId="4361EB13" w14:textId="45D014DB" w:rsidR="00F06082" w:rsidRPr="00084718" w:rsidRDefault="00F06082" w:rsidP="00C961AA">
      <w:pPr>
        <w:pStyle w:val="Heading1"/>
        <w:jc w:val="both"/>
        <w:rPr>
          <w:rFonts w:cstheme="minorHAnsi"/>
        </w:rPr>
      </w:pPr>
      <w:r w:rsidRPr="00084718">
        <w:t xml:space="preserve">Project components: </w:t>
      </w:r>
    </w:p>
    <w:p w14:paraId="3B2A7FEE" w14:textId="06EA4E25" w:rsidR="00084718" w:rsidRDefault="00084718" w:rsidP="00C961AA">
      <w:pPr>
        <w:jc w:val="both"/>
      </w:pPr>
      <w:r w:rsidRPr="003159E5">
        <w:t>This proposal presented by INTEC</w:t>
      </w:r>
      <w:r w:rsidR="00EC3FA6">
        <w:t>,</w:t>
      </w:r>
      <w:r w:rsidR="00EC3FA6" w:rsidRPr="003159E5">
        <w:t xml:space="preserve"> </w:t>
      </w:r>
      <w:r w:rsidR="00EC3FA6">
        <w:t xml:space="preserve">in partnership with sub-grantee Integrated Health Outreach Inc. (IHO) in Antigua and Barbuda, </w:t>
      </w:r>
      <w:r w:rsidRPr="003159E5">
        <w:t xml:space="preserve">is a joint effort by the World Bank </w:t>
      </w:r>
      <w:r w:rsidR="00EC3FA6">
        <w:t>Global Partnership for Social Accountability (</w:t>
      </w:r>
      <w:r w:rsidRPr="003159E5">
        <w:t>GPSA</w:t>
      </w:r>
      <w:r w:rsidR="00EC3FA6">
        <w:t>)</w:t>
      </w:r>
      <w:r w:rsidRPr="003159E5">
        <w:t xml:space="preserve"> and </w:t>
      </w:r>
      <w:r w:rsidR="00EC3FA6" w:rsidRPr="00121E28">
        <w:rPr>
          <w:lang w:val="en-GB"/>
        </w:rPr>
        <w:t>Critical Ecosystem Partnership Fund</w:t>
      </w:r>
      <w:r w:rsidR="00EC3FA6" w:rsidRPr="003159E5">
        <w:t xml:space="preserve"> </w:t>
      </w:r>
      <w:r w:rsidR="00EC3FA6">
        <w:t>(</w:t>
      </w:r>
      <w:r w:rsidRPr="003159E5">
        <w:t>CEPF</w:t>
      </w:r>
      <w:r w:rsidR="00EC3FA6">
        <w:t>)</w:t>
      </w:r>
      <w:r w:rsidRPr="003159E5">
        <w:t>,</w:t>
      </w:r>
      <w:r w:rsidR="009D38C1">
        <w:t xml:space="preserve"> </w:t>
      </w:r>
      <w:r w:rsidRPr="003159E5">
        <w:t>to contribute to improving biodiversity conservation in KBAs located in four Caribbean countries (Dominican Republic and Antigua and Barbuda, during the first year, with adaptive replication in Jamaica and Saint Lucia during years 2 to 4) through collaborative social accountability mechanisms between governments, citizens and civil society organizations (CSOs). Accountability is the cornerstone of good governance. In the context of biodiversity conservation, it is an essential element of natural resource governance that balances the need for long-term protection and replenishment of natural capital with short-term development imperatives. Collaborative social accountability is a set of methodologies and tools for constructive engagement of citizens and civil society organizations (CSOs) with public-sector institutions, to bring about greater voice for citizen’s concerns and responsiveness to their needs.</w:t>
      </w:r>
      <w:r>
        <w:t xml:space="preserve"> </w:t>
      </w:r>
    </w:p>
    <w:p w14:paraId="4F3BCB74" w14:textId="55EE89D1" w:rsidR="00084718" w:rsidRDefault="00084718" w:rsidP="00C961AA">
      <w:pPr>
        <w:jc w:val="both"/>
      </w:pPr>
      <w:r w:rsidRPr="003159E5">
        <w:t>INTEC will apply social accountability methodologies and tools to facilitate partnerships for conservation. These partnerships will bring together central and local-level public sector institutions, CSOs, local communities and, where relevant, private sector actors, to co-create analyses of conservation problems and develop joint solutions. This recognizes that successful, sustained conservation actions depend upon good coordination among multiple actors, which leverage complementary skills, experience, networks and authority. INTEC will also support CANARI to replicate tools and lessons learned, to extend social accountability efforts to The Bahamas, Haiti, and St.</w:t>
      </w:r>
      <w:r>
        <w:t xml:space="preserve"> </w:t>
      </w:r>
      <w:r w:rsidRPr="003159E5">
        <w:t>Vincent and the Grenadines, which also are CEPF priority countries in its current investment phase</w:t>
      </w:r>
      <w:r>
        <w:t>.</w:t>
      </w:r>
    </w:p>
    <w:p w14:paraId="43D508EE" w14:textId="23AB22FE" w:rsidR="00084718" w:rsidRPr="003159E5" w:rsidRDefault="00084718" w:rsidP="00C961AA">
      <w:pPr>
        <w:jc w:val="both"/>
      </w:pPr>
      <w:r w:rsidRPr="003159E5">
        <w:t>The project’s rationale takes into consideration the GPSA’s theory of change, tailored in this case to target the Caribbean’s biodiversity conservation context. By engaging multiple stakeholders</w:t>
      </w:r>
      <w:r w:rsidR="009D38C1">
        <w:t>,</w:t>
      </w:r>
      <w:r w:rsidRPr="003159E5">
        <w:t xml:space="preserve"> </w:t>
      </w:r>
      <w:r>
        <w:t>cooperation</w:t>
      </w:r>
      <w:r w:rsidRPr="003159E5">
        <w:t xml:space="preserve"> to better leverage the existing biodiversity conservation and management system (programs, policies, and decision-making arenas), the project addresses problems of lack of collaborative governance and the capacities needed for this. The project combines (i) civil society-led coalitions to work with government to solve problems that local actors have prioritized with (ii) sustained support to meaningful engagements, including implementation support, capacity building, facilitation, and brokering. The aim is to contribute to improved biodiversity conservation and management using collaborative social accountability mechanisms that also tackle obstacles to improving relevant service delivery.</w:t>
      </w:r>
    </w:p>
    <w:p w14:paraId="5ABCE4FC" w14:textId="77777777" w:rsidR="00084718" w:rsidRPr="00084718" w:rsidRDefault="00084718" w:rsidP="00C961AA">
      <w:pPr>
        <w:pStyle w:val="ListParagraph"/>
        <w:spacing w:after="0"/>
        <w:ind w:left="360"/>
        <w:jc w:val="both"/>
        <w:rPr>
          <w:rFonts w:cstheme="minorHAnsi"/>
        </w:rPr>
      </w:pPr>
    </w:p>
    <w:p w14:paraId="4D5E640A" w14:textId="39A2FD47" w:rsidR="00F06082" w:rsidRDefault="00F06082" w:rsidP="00C961AA">
      <w:pPr>
        <w:pStyle w:val="Heading1"/>
        <w:jc w:val="both"/>
        <w:rPr>
          <w:rFonts w:cstheme="minorHAnsi"/>
        </w:rPr>
      </w:pPr>
      <w:r w:rsidRPr="00084718">
        <w:rPr>
          <w:rFonts w:cstheme="minorHAnsi"/>
          <w:bCs/>
          <w:u w:val="single"/>
        </w:rPr>
        <w:t>Risks to community health and safety</w:t>
      </w:r>
      <w:r w:rsidRPr="00084718">
        <w:rPr>
          <w:rFonts w:cstheme="minorHAnsi"/>
          <w:bCs/>
        </w:rPr>
        <w:t>:</w:t>
      </w:r>
      <w:r w:rsidRPr="00084718">
        <w:rPr>
          <w:rFonts w:cstheme="minorHAnsi"/>
        </w:rPr>
        <w:t xml:space="preserve"> </w:t>
      </w:r>
    </w:p>
    <w:p w14:paraId="3CDB5C71" w14:textId="4676381D" w:rsidR="00084718" w:rsidRDefault="00084718" w:rsidP="00C961AA">
      <w:pPr>
        <w:pStyle w:val="ListParagraph"/>
        <w:spacing w:after="0"/>
        <w:ind w:left="360"/>
        <w:jc w:val="both"/>
        <w:rPr>
          <w:rFonts w:cstheme="minorHAnsi"/>
          <w:b/>
          <w:bCs/>
          <w:u w:val="single"/>
        </w:rPr>
      </w:pPr>
    </w:p>
    <w:tbl>
      <w:tblPr>
        <w:tblStyle w:val="TableGrid"/>
        <w:tblW w:w="0" w:type="auto"/>
        <w:tblLook w:val="04A0" w:firstRow="1" w:lastRow="0" w:firstColumn="1" w:lastColumn="0" w:noHBand="0" w:noVBand="1"/>
      </w:tblPr>
      <w:tblGrid>
        <w:gridCol w:w="3823"/>
        <w:gridCol w:w="2896"/>
        <w:gridCol w:w="1356"/>
        <w:gridCol w:w="1275"/>
      </w:tblGrid>
      <w:tr w:rsidR="00084718" w14:paraId="6F47B926" w14:textId="77777777" w:rsidTr="00456455">
        <w:tc>
          <w:tcPr>
            <w:tcW w:w="3823" w:type="dxa"/>
          </w:tcPr>
          <w:p w14:paraId="5DA03130" w14:textId="77777777" w:rsidR="00084718" w:rsidRPr="002A608C" w:rsidRDefault="00084718" w:rsidP="00C961AA">
            <w:pPr>
              <w:jc w:val="both"/>
              <w:rPr>
                <w:rFonts w:cstheme="minorHAnsi"/>
                <w:b/>
                <w:bCs/>
              </w:rPr>
            </w:pPr>
            <w:r w:rsidRPr="002A608C">
              <w:rPr>
                <w:rFonts w:cstheme="minorHAnsi"/>
                <w:b/>
                <w:bCs/>
              </w:rPr>
              <w:t>Activit</w:t>
            </w:r>
            <w:r>
              <w:rPr>
                <w:rFonts w:cstheme="minorHAnsi"/>
                <w:b/>
                <w:bCs/>
              </w:rPr>
              <w:t>y</w:t>
            </w:r>
          </w:p>
        </w:tc>
        <w:tc>
          <w:tcPr>
            <w:tcW w:w="2896" w:type="dxa"/>
          </w:tcPr>
          <w:p w14:paraId="658BDCC5" w14:textId="77777777" w:rsidR="00084718" w:rsidRPr="002A608C" w:rsidRDefault="00084718" w:rsidP="00C961AA">
            <w:pPr>
              <w:jc w:val="both"/>
              <w:rPr>
                <w:rFonts w:cstheme="minorHAnsi"/>
                <w:b/>
                <w:bCs/>
              </w:rPr>
            </w:pPr>
            <w:r>
              <w:rPr>
                <w:rFonts w:cstheme="minorHAnsi"/>
                <w:b/>
                <w:bCs/>
              </w:rPr>
              <w:t>Description of risk</w:t>
            </w:r>
          </w:p>
        </w:tc>
        <w:tc>
          <w:tcPr>
            <w:tcW w:w="1356" w:type="dxa"/>
          </w:tcPr>
          <w:p w14:paraId="41A165B5" w14:textId="77777777" w:rsidR="00084718" w:rsidRPr="002A608C" w:rsidRDefault="00084718" w:rsidP="00C961AA">
            <w:pPr>
              <w:jc w:val="both"/>
              <w:rPr>
                <w:rFonts w:cstheme="minorHAnsi"/>
                <w:b/>
                <w:bCs/>
              </w:rPr>
            </w:pPr>
            <w:r>
              <w:rPr>
                <w:rFonts w:cstheme="minorHAnsi"/>
                <w:b/>
                <w:bCs/>
              </w:rPr>
              <w:t xml:space="preserve">Risk probability </w:t>
            </w:r>
          </w:p>
        </w:tc>
        <w:tc>
          <w:tcPr>
            <w:tcW w:w="1275" w:type="dxa"/>
          </w:tcPr>
          <w:p w14:paraId="67C7990F" w14:textId="77777777" w:rsidR="00084718" w:rsidRDefault="00084718" w:rsidP="00C961AA">
            <w:pPr>
              <w:jc w:val="both"/>
              <w:rPr>
                <w:rFonts w:cstheme="minorHAnsi"/>
                <w:b/>
                <w:bCs/>
              </w:rPr>
            </w:pPr>
            <w:r>
              <w:rPr>
                <w:rFonts w:cstheme="minorHAnsi"/>
                <w:b/>
                <w:bCs/>
              </w:rPr>
              <w:t>Risk rating</w:t>
            </w:r>
          </w:p>
        </w:tc>
      </w:tr>
      <w:tr w:rsidR="00084718" w14:paraId="11E10133" w14:textId="77777777" w:rsidTr="00456455">
        <w:tc>
          <w:tcPr>
            <w:tcW w:w="9350" w:type="dxa"/>
            <w:gridSpan w:val="4"/>
            <w:shd w:val="clear" w:color="auto" w:fill="FFFFFF" w:themeFill="background1"/>
          </w:tcPr>
          <w:p w14:paraId="2D96EBCE" w14:textId="30904ED6" w:rsidR="00084718" w:rsidRPr="002A608C" w:rsidRDefault="00554F7A" w:rsidP="00C961AA">
            <w:pPr>
              <w:jc w:val="both"/>
              <w:rPr>
                <w:rFonts w:cstheme="minorHAnsi"/>
              </w:rPr>
            </w:pPr>
            <w:r w:rsidRPr="003159E5">
              <w:rPr>
                <w:b/>
                <w:bCs/>
              </w:rPr>
              <w:t xml:space="preserve">Components 1 and </w:t>
            </w:r>
            <w:r>
              <w:rPr>
                <w:b/>
                <w:bCs/>
              </w:rPr>
              <w:t>4</w:t>
            </w:r>
            <w:r w:rsidRPr="003159E5">
              <w:rPr>
                <w:b/>
                <w:bCs/>
              </w:rPr>
              <w:t>: Capacity-building for collaborative social accountability in DR and JA/AB and SLU, respectively.</w:t>
            </w:r>
          </w:p>
        </w:tc>
      </w:tr>
      <w:tr w:rsidR="00084718" w14:paraId="4EFC65C2" w14:textId="77777777" w:rsidTr="00456455">
        <w:tc>
          <w:tcPr>
            <w:tcW w:w="3823" w:type="dxa"/>
          </w:tcPr>
          <w:p w14:paraId="7FF7C050" w14:textId="06211DE6" w:rsidR="00084718" w:rsidRPr="00EE62E5" w:rsidRDefault="00554F7A" w:rsidP="00C961AA">
            <w:pPr>
              <w:autoSpaceDE w:val="0"/>
              <w:autoSpaceDN w:val="0"/>
              <w:adjustRightInd w:val="0"/>
              <w:jc w:val="both"/>
              <w:rPr>
                <w:rFonts w:cstheme="minorHAnsi"/>
              </w:rPr>
            </w:pPr>
            <w:r w:rsidRPr="003159E5">
              <w:rPr>
                <w:rFonts w:eastAsia="Calibri"/>
              </w:rPr>
              <w:t>INTEC and IHO will undertake the development and piloting of a capacity development (CD) program; the CD program will be improved year by year based on the results of the previous year evaluation.</w:t>
            </w:r>
          </w:p>
        </w:tc>
        <w:tc>
          <w:tcPr>
            <w:tcW w:w="2896" w:type="dxa"/>
          </w:tcPr>
          <w:p w14:paraId="5E99C581" w14:textId="77777777" w:rsidR="00084718" w:rsidRDefault="00084718" w:rsidP="00C961AA">
            <w:pPr>
              <w:jc w:val="both"/>
            </w:pPr>
            <w:r w:rsidRPr="00EE62E5">
              <w:t>Transmission of communicable disease</w:t>
            </w:r>
            <w:r>
              <w:t>s</w:t>
            </w:r>
            <w:r w:rsidRPr="00EE62E5">
              <w:t xml:space="preserve">, </w:t>
            </w:r>
            <w:r>
              <w:t xml:space="preserve">particularly </w:t>
            </w:r>
            <w:r w:rsidRPr="00EE62E5">
              <w:t>COVID-19</w:t>
            </w:r>
            <w:r>
              <w:t>, to local stakeholders.</w:t>
            </w:r>
          </w:p>
          <w:p w14:paraId="4C3ADD39" w14:textId="77777777" w:rsidR="00084718" w:rsidRPr="00EE62E5" w:rsidRDefault="00084718" w:rsidP="00C961AA">
            <w:pPr>
              <w:jc w:val="both"/>
              <w:rPr>
                <w:rFonts w:cstheme="minorHAnsi"/>
              </w:rPr>
            </w:pPr>
          </w:p>
          <w:p w14:paraId="0945BB1D" w14:textId="77777777" w:rsidR="00084718" w:rsidRDefault="00084718" w:rsidP="00C961AA">
            <w:pPr>
              <w:jc w:val="both"/>
              <w:rPr>
                <w:rFonts w:cstheme="minorHAnsi"/>
              </w:rPr>
            </w:pPr>
            <w:r>
              <w:rPr>
                <w:rFonts w:cstheme="minorHAnsi"/>
              </w:rPr>
              <w:t>Risks</w:t>
            </w:r>
            <w:r w:rsidRPr="00EE62E5">
              <w:rPr>
                <w:rFonts w:cstheme="minorHAnsi"/>
              </w:rPr>
              <w:t xml:space="preserve"> related to</w:t>
            </w:r>
            <w:r w:rsidRPr="00EE62E5">
              <w:t xml:space="preserve"> hurricanes, earthquakes and other natural disasters</w:t>
            </w:r>
            <w:r>
              <w:t>.</w:t>
            </w:r>
          </w:p>
        </w:tc>
        <w:tc>
          <w:tcPr>
            <w:tcW w:w="1356" w:type="dxa"/>
          </w:tcPr>
          <w:p w14:paraId="5327EE1F" w14:textId="77777777" w:rsidR="00084718" w:rsidRDefault="00084718" w:rsidP="00C961AA">
            <w:pPr>
              <w:jc w:val="both"/>
              <w:rPr>
                <w:rFonts w:cstheme="minorHAnsi"/>
              </w:rPr>
            </w:pPr>
            <w:r>
              <w:rPr>
                <w:rFonts w:cstheme="minorHAnsi"/>
              </w:rPr>
              <w:t>High</w:t>
            </w:r>
          </w:p>
          <w:p w14:paraId="3DE70A02" w14:textId="77777777" w:rsidR="00084718" w:rsidRDefault="00084718" w:rsidP="00C961AA">
            <w:pPr>
              <w:jc w:val="both"/>
              <w:rPr>
                <w:rFonts w:cstheme="minorHAnsi"/>
              </w:rPr>
            </w:pPr>
          </w:p>
          <w:p w14:paraId="6377B409" w14:textId="77777777" w:rsidR="00084718" w:rsidRDefault="00084718" w:rsidP="00C961AA">
            <w:pPr>
              <w:jc w:val="both"/>
              <w:rPr>
                <w:rFonts w:cstheme="minorHAnsi"/>
              </w:rPr>
            </w:pPr>
          </w:p>
          <w:p w14:paraId="024297C9" w14:textId="77777777" w:rsidR="00084718" w:rsidRDefault="00084718" w:rsidP="00C961AA">
            <w:pPr>
              <w:jc w:val="both"/>
              <w:rPr>
                <w:rFonts w:cstheme="minorHAnsi"/>
              </w:rPr>
            </w:pPr>
          </w:p>
          <w:p w14:paraId="4FC5BDAE" w14:textId="77777777" w:rsidR="00084718" w:rsidRDefault="00084718" w:rsidP="00C961AA">
            <w:pPr>
              <w:jc w:val="both"/>
              <w:rPr>
                <w:rFonts w:cstheme="minorHAnsi"/>
              </w:rPr>
            </w:pPr>
          </w:p>
          <w:p w14:paraId="700A96E0" w14:textId="77777777" w:rsidR="00084718" w:rsidRDefault="00084718" w:rsidP="00C961AA">
            <w:pPr>
              <w:jc w:val="both"/>
              <w:rPr>
                <w:rFonts w:cstheme="minorHAnsi"/>
              </w:rPr>
            </w:pPr>
          </w:p>
          <w:p w14:paraId="614AF7F9" w14:textId="77777777" w:rsidR="00084718" w:rsidRDefault="00084718" w:rsidP="00C961AA">
            <w:pPr>
              <w:jc w:val="both"/>
              <w:rPr>
                <w:rFonts w:cstheme="minorHAnsi"/>
              </w:rPr>
            </w:pPr>
          </w:p>
          <w:p w14:paraId="1417FB2E" w14:textId="77777777" w:rsidR="00084718" w:rsidRDefault="00084718" w:rsidP="00C961AA">
            <w:pPr>
              <w:jc w:val="both"/>
              <w:rPr>
                <w:rFonts w:cstheme="minorHAnsi"/>
              </w:rPr>
            </w:pPr>
            <w:r>
              <w:rPr>
                <w:rFonts w:cstheme="minorHAnsi"/>
              </w:rPr>
              <w:t>High</w:t>
            </w:r>
          </w:p>
        </w:tc>
        <w:tc>
          <w:tcPr>
            <w:tcW w:w="1275" w:type="dxa"/>
          </w:tcPr>
          <w:p w14:paraId="770BC084" w14:textId="77777777" w:rsidR="00084718" w:rsidRDefault="00084718" w:rsidP="00C961AA">
            <w:pPr>
              <w:jc w:val="both"/>
              <w:rPr>
                <w:rFonts w:cstheme="minorHAnsi"/>
              </w:rPr>
            </w:pPr>
            <w:r>
              <w:rPr>
                <w:rFonts w:cstheme="minorHAnsi"/>
              </w:rPr>
              <w:t>High</w:t>
            </w:r>
          </w:p>
          <w:p w14:paraId="18E5799F" w14:textId="77777777" w:rsidR="00084718" w:rsidRDefault="00084718" w:rsidP="00C961AA">
            <w:pPr>
              <w:jc w:val="both"/>
              <w:rPr>
                <w:rFonts w:cstheme="minorHAnsi"/>
              </w:rPr>
            </w:pPr>
          </w:p>
          <w:p w14:paraId="3677915E" w14:textId="77777777" w:rsidR="00084718" w:rsidRDefault="00084718" w:rsidP="00C961AA">
            <w:pPr>
              <w:jc w:val="both"/>
              <w:rPr>
                <w:rFonts w:cstheme="minorHAnsi"/>
              </w:rPr>
            </w:pPr>
          </w:p>
          <w:p w14:paraId="24109D5D" w14:textId="77777777" w:rsidR="00084718" w:rsidRDefault="00084718" w:rsidP="00C961AA">
            <w:pPr>
              <w:jc w:val="both"/>
              <w:rPr>
                <w:rFonts w:cstheme="minorHAnsi"/>
              </w:rPr>
            </w:pPr>
          </w:p>
          <w:p w14:paraId="2C71C6F0" w14:textId="77777777" w:rsidR="00084718" w:rsidRDefault="00084718" w:rsidP="00C961AA">
            <w:pPr>
              <w:jc w:val="both"/>
              <w:rPr>
                <w:rFonts w:cstheme="minorHAnsi"/>
              </w:rPr>
            </w:pPr>
          </w:p>
          <w:p w14:paraId="23E9A9F9" w14:textId="77777777" w:rsidR="00084718" w:rsidRDefault="00084718" w:rsidP="00C961AA">
            <w:pPr>
              <w:jc w:val="both"/>
              <w:rPr>
                <w:rFonts w:cstheme="minorHAnsi"/>
              </w:rPr>
            </w:pPr>
          </w:p>
          <w:p w14:paraId="562A858E" w14:textId="77777777" w:rsidR="00084718" w:rsidRDefault="00084718" w:rsidP="00C961AA">
            <w:pPr>
              <w:jc w:val="both"/>
              <w:rPr>
                <w:rFonts w:cstheme="minorHAnsi"/>
              </w:rPr>
            </w:pPr>
          </w:p>
          <w:p w14:paraId="38527918" w14:textId="427C0171" w:rsidR="00084718" w:rsidRDefault="00084718" w:rsidP="00C961AA">
            <w:pPr>
              <w:jc w:val="both"/>
              <w:rPr>
                <w:rFonts w:cstheme="minorHAnsi"/>
              </w:rPr>
            </w:pPr>
            <w:r>
              <w:rPr>
                <w:rFonts w:cstheme="minorHAnsi"/>
              </w:rPr>
              <w:t xml:space="preserve">Substantial </w:t>
            </w:r>
            <w:r w:rsidR="009D38C1">
              <w:rPr>
                <w:rFonts w:cstheme="minorHAnsi"/>
              </w:rPr>
              <w:t>–</w:t>
            </w:r>
            <w:r>
              <w:rPr>
                <w:rFonts w:cstheme="minorHAnsi"/>
              </w:rPr>
              <w:t xml:space="preserve"> High</w:t>
            </w:r>
          </w:p>
        </w:tc>
      </w:tr>
      <w:tr w:rsidR="00084718" w14:paraId="51B87487" w14:textId="77777777" w:rsidTr="00456455">
        <w:trPr>
          <w:trHeight w:val="583"/>
        </w:trPr>
        <w:tc>
          <w:tcPr>
            <w:tcW w:w="9350" w:type="dxa"/>
            <w:gridSpan w:val="4"/>
          </w:tcPr>
          <w:p w14:paraId="6A8D81C6" w14:textId="51730A0A" w:rsidR="00084718" w:rsidRPr="00C23FE7" w:rsidRDefault="00554F7A" w:rsidP="00C961AA">
            <w:pPr>
              <w:jc w:val="both"/>
              <w:rPr>
                <w:rFonts w:cstheme="minorHAnsi"/>
                <w:b/>
                <w:bCs/>
                <w:i/>
                <w:iCs/>
              </w:rPr>
            </w:pPr>
            <w:r w:rsidRPr="003159E5">
              <w:rPr>
                <w:rFonts w:eastAsia="Calibri"/>
                <w:b/>
                <w:bCs/>
              </w:rPr>
              <w:t xml:space="preserve">Components 2 and </w:t>
            </w:r>
            <w:r>
              <w:rPr>
                <w:rFonts w:eastAsia="Calibri"/>
                <w:b/>
                <w:bCs/>
              </w:rPr>
              <w:t>5</w:t>
            </w:r>
            <w:r w:rsidRPr="003159E5">
              <w:rPr>
                <w:rFonts w:eastAsia="Calibri"/>
                <w:b/>
                <w:bCs/>
              </w:rPr>
              <w:t>: Implementing collaborative social accountability (CSA) mechanisms for improved biodiversity conservation and hotspot monitoring in DR and JA/AB and SLU, respectively.</w:t>
            </w:r>
          </w:p>
        </w:tc>
      </w:tr>
      <w:tr w:rsidR="00084718" w14:paraId="1E7885EA" w14:textId="77777777" w:rsidTr="00456455">
        <w:tc>
          <w:tcPr>
            <w:tcW w:w="3823" w:type="dxa"/>
          </w:tcPr>
          <w:p w14:paraId="2C5B3297" w14:textId="447FCE18" w:rsidR="00084718" w:rsidRDefault="00554F7A" w:rsidP="00C961AA">
            <w:pPr>
              <w:jc w:val="both"/>
              <w:rPr>
                <w:rFonts w:cstheme="minorHAnsi"/>
              </w:rPr>
            </w:pPr>
            <w:r w:rsidRPr="003159E5">
              <w:rPr>
                <w:rFonts w:eastAsia="Calibri"/>
              </w:rPr>
              <w:t>INTEC and IHO will establish non-binding collaborative agreements with government counterparts to integrate biodiversity values, climate resilience and citizen feedback into national and local planning and improve KBA monitoring by creating new or strengthening existing participatory mechanisms for collaborative problem-solving, outlining information-sharing terms, mutual commitments and joint actions.</w:t>
            </w:r>
          </w:p>
        </w:tc>
        <w:tc>
          <w:tcPr>
            <w:tcW w:w="2896" w:type="dxa"/>
          </w:tcPr>
          <w:p w14:paraId="4ACEEE7C" w14:textId="77777777" w:rsidR="00554F7A" w:rsidRDefault="00554F7A" w:rsidP="00C961AA">
            <w:pPr>
              <w:jc w:val="both"/>
            </w:pPr>
            <w:r w:rsidRPr="00EE62E5">
              <w:t>Transmission of communicable disease</w:t>
            </w:r>
            <w:r>
              <w:t>s</w:t>
            </w:r>
            <w:r w:rsidRPr="00EE62E5">
              <w:t xml:space="preserve">, </w:t>
            </w:r>
            <w:r>
              <w:t xml:space="preserve">particularly </w:t>
            </w:r>
            <w:r w:rsidRPr="00EE62E5">
              <w:t>COVID-19</w:t>
            </w:r>
            <w:r>
              <w:t>, to local stakeholders.</w:t>
            </w:r>
          </w:p>
          <w:p w14:paraId="7F9FD78C" w14:textId="77777777" w:rsidR="00554F7A" w:rsidRPr="00EE62E5" w:rsidRDefault="00554F7A" w:rsidP="00C961AA">
            <w:pPr>
              <w:jc w:val="both"/>
              <w:rPr>
                <w:rFonts w:cstheme="minorHAnsi"/>
              </w:rPr>
            </w:pPr>
          </w:p>
          <w:p w14:paraId="5DA196FB" w14:textId="321D0128" w:rsidR="00084718" w:rsidRDefault="00554F7A" w:rsidP="00C961AA">
            <w:pPr>
              <w:jc w:val="both"/>
              <w:rPr>
                <w:rFonts w:cstheme="minorHAnsi"/>
              </w:rPr>
            </w:pPr>
            <w:r>
              <w:rPr>
                <w:rFonts w:cstheme="minorHAnsi"/>
              </w:rPr>
              <w:t>Risks</w:t>
            </w:r>
            <w:r w:rsidRPr="00EE62E5">
              <w:rPr>
                <w:rFonts w:cstheme="minorHAnsi"/>
              </w:rPr>
              <w:t xml:space="preserve"> related to</w:t>
            </w:r>
            <w:r w:rsidRPr="00EE62E5">
              <w:t xml:space="preserve"> hurricanes, earthquakes and other natural disasters</w:t>
            </w:r>
            <w:r>
              <w:t>.</w:t>
            </w:r>
          </w:p>
        </w:tc>
        <w:tc>
          <w:tcPr>
            <w:tcW w:w="1356" w:type="dxa"/>
          </w:tcPr>
          <w:p w14:paraId="1B2A0236" w14:textId="77777777" w:rsidR="00084718" w:rsidRDefault="00084718" w:rsidP="00C961AA">
            <w:pPr>
              <w:jc w:val="both"/>
              <w:rPr>
                <w:rFonts w:cstheme="minorHAnsi"/>
              </w:rPr>
            </w:pPr>
            <w:r>
              <w:rPr>
                <w:rFonts w:cstheme="minorHAnsi"/>
              </w:rPr>
              <w:t>High</w:t>
            </w:r>
          </w:p>
          <w:p w14:paraId="35A3A217" w14:textId="77777777" w:rsidR="00084718" w:rsidRDefault="00084718" w:rsidP="00C961AA">
            <w:pPr>
              <w:jc w:val="both"/>
              <w:rPr>
                <w:rFonts w:cstheme="minorHAnsi"/>
              </w:rPr>
            </w:pPr>
          </w:p>
          <w:p w14:paraId="618E2957" w14:textId="77777777" w:rsidR="00084718" w:rsidRDefault="00084718" w:rsidP="00C961AA">
            <w:pPr>
              <w:jc w:val="both"/>
              <w:rPr>
                <w:rFonts w:cstheme="minorHAnsi"/>
              </w:rPr>
            </w:pPr>
          </w:p>
          <w:p w14:paraId="25D4D868" w14:textId="77777777" w:rsidR="00084718" w:rsidRDefault="00084718" w:rsidP="00C961AA">
            <w:pPr>
              <w:jc w:val="both"/>
              <w:rPr>
                <w:rFonts w:cstheme="minorHAnsi"/>
              </w:rPr>
            </w:pPr>
          </w:p>
          <w:p w14:paraId="717ED389" w14:textId="77777777" w:rsidR="00084718" w:rsidRDefault="00084718" w:rsidP="00C961AA">
            <w:pPr>
              <w:jc w:val="both"/>
              <w:rPr>
                <w:rFonts w:cstheme="minorHAnsi"/>
              </w:rPr>
            </w:pPr>
          </w:p>
          <w:p w14:paraId="29863318" w14:textId="77777777" w:rsidR="00084718" w:rsidRDefault="00084718" w:rsidP="00C961AA">
            <w:pPr>
              <w:jc w:val="both"/>
              <w:rPr>
                <w:rFonts w:cstheme="minorHAnsi"/>
              </w:rPr>
            </w:pPr>
            <w:r>
              <w:rPr>
                <w:rFonts w:cstheme="minorHAnsi"/>
              </w:rPr>
              <w:t>High</w:t>
            </w:r>
          </w:p>
        </w:tc>
        <w:tc>
          <w:tcPr>
            <w:tcW w:w="1275" w:type="dxa"/>
          </w:tcPr>
          <w:p w14:paraId="1C62F12B" w14:textId="77777777" w:rsidR="00084718" w:rsidRDefault="00084718" w:rsidP="00C961AA">
            <w:pPr>
              <w:jc w:val="both"/>
              <w:rPr>
                <w:rFonts w:cstheme="minorHAnsi"/>
              </w:rPr>
            </w:pPr>
            <w:r>
              <w:rPr>
                <w:rFonts w:cstheme="minorHAnsi"/>
              </w:rPr>
              <w:t>High</w:t>
            </w:r>
          </w:p>
          <w:p w14:paraId="1ACAC31C" w14:textId="77777777" w:rsidR="00084718" w:rsidRDefault="00084718" w:rsidP="00C961AA">
            <w:pPr>
              <w:jc w:val="both"/>
              <w:rPr>
                <w:rFonts w:cstheme="minorHAnsi"/>
              </w:rPr>
            </w:pPr>
          </w:p>
          <w:p w14:paraId="6FABBD65" w14:textId="77777777" w:rsidR="00084718" w:rsidRDefault="00084718" w:rsidP="00C961AA">
            <w:pPr>
              <w:jc w:val="both"/>
              <w:rPr>
                <w:rFonts w:cstheme="minorHAnsi"/>
              </w:rPr>
            </w:pPr>
          </w:p>
          <w:p w14:paraId="2A8DBCAF" w14:textId="77777777" w:rsidR="00084718" w:rsidRDefault="00084718" w:rsidP="00C961AA">
            <w:pPr>
              <w:jc w:val="both"/>
              <w:rPr>
                <w:rFonts w:cstheme="minorHAnsi"/>
              </w:rPr>
            </w:pPr>
          </w:p>
          <w:p w14:paraId="1A8C5C1E" w14:textId="77777777" w:rsidR="00084718" w:rsidRDefault="00084718" w:rsidP="00C961AA">
            <w:pPr>
              <w:jc w:val="both"/>
              <w:rPr>
                <w:rFonts w:cstheme="minorHAnsi"/>
              </w:rPr>
            </w:pPr>
          </w:p>
          <w:p w14:paraId="15B6BCDF" w14:textId="5DED42F7" w:rsidR="00084718" w:rsidRDefault="00084718" w:rsidP="00C961AA">
            <w:pPr>
              <w:jc w:val="both"/>
              <w:rPr>
                <w:rFonts w:cstheme="minorHAnsi"/>
              </w:rPr>
            </w:pPr>
            <w:r>
              <w:rPr>
                <w:rFonts w:cstheme="minorHAnsi"/>
              </w:rPr>
              <w:t xml:space="preserve">Substantial </w:t>
            </w:r>
            <w:r w:rsidR="009D38C1">
              <w:rPr>
                <w:rFonts w:cstheme="minorHAnsi"/>
              </w:rPr>
              <w:t>–</w:t>
            </w:r>
            <w:r>
              <w:rPr>
                <w:rFonts w:cstheme="minorHAnsi"/>
              </w:rPr>
              <w:t xml:space="preserve"> High</w:t>
            </w:r>
          </w:p>
        </w:tc>
      </w:tr>
      <w:tr w:rsidR="00084718" w14:paraId="35ECD601" w14:textId="77777777" w:rsidTr="00456455">
        <w:tc>
          <w:tcPr>
            <w:tcW w:w="9350" w:type="dxa"/>
            <w:gridSpan w:val="4"/>
          </w:tcPr>
          <w:p w14:paraId="10B61FC0" w14:textId="69C2ED8B" w:rsidR="00084718" w:rsidRPr="004257E8" w:rsidRDefault="00554F7A" w:rsidP="00C961AA">
            <w:pPr>
              <w:jc w:val="both"/>
              <w:rPr>
                <w:rFonts w:cstheme="minorHAnsi"/>
                <w:b/>
                <w:bCs/>
                <w:i/>
                <w:iCs/>
              </w:rPr>
            </w:pPr>
            <w:r w:rsidRPr="003159E5">
              <w:rPr>
                <w:rFonts w:eastAsia="Calibri"/>
                <w:b/>
                <w:bCs/>
              </w:rPr>
              <w:t xml:space="preserve">Component </w:t>
            </w:r>
            <w:r>
              <w:rPr>
                <w:rFonts w:eastAsia="Calibri"/>
                <w:b/>
                <w:bCs/>
              </w:rPr>
              <w:t>3 and 6</w:t>
            </w:r>
            <w:r w:rsidRPr="003159E5">
              <w:rPr>
                <w:rFonts w:eastAsia="Calibri"/>
                <w:b/>
                <w:bCs/>
              </w:rPr>
              <w:t>: Improving knowledge and learning on social accountability in the Caribbean biodiversity conservation sector</w:t>
            </w:r>
            <w:r>
              <w:rPr>
                <w:rFonts w:eastAsia="Calibri"/>
                <w:b/>
                <w:bCs/>
              </w:rPr>
              <w:t xml:space="preserve"> for the project overall</w:t>
            </w:r>
            <w:r w:rsidRPr="003159E5">
              <w:rPr>
                <w:rFonts w:eastAsia="Calibri"/>
                <w:b/>
                <w:bCs/>
              </w:rPr>
              <w:t>/</w:t>
            </w:r>
            <w:r>
              <w:rPr>
                <w:rFonts w:eastAsia="Calibri"/>
                <w:b/>
                <w:bCs/>
              </w:rPr>
              <w:t xml:space="preserve">for </w:t>
            </w:r>
            <w:r w:rsidRPr="003159E5">
              <w:rPr>
                <w:rFonts w:eastAsia="Calibri"/>
                <w:b/>
                <w:bCs/>
              </w:rPr>
              <w:t>AB and SLU, respectively.</w:t>
            </w:r>
          </w:p>
        </w:tc>
      </w:tr>
      <w:tr w:rsidR="00084718" w14:paraId="0C5CFFAD" w14:textId="77777777" w:rsidTr="00456455">
        <w:tc>
          <w:tcPr>
            <w:tcW w:w="3823" w:type="dxa"/>
          </w:tcPr>
          <w:p w14:paraId="59DAA241" w14:textId="4BE5B87A" w:rsidR="00084718" w:rsidRPr="00967083" w:rsidRDefault="00554F7A" w:rsidP="00C961AA">
            <w:pPr>
              <w:jc w:val="both"/>
              <w:rPr>
                <w:rFonts w:cstheme="minorHAnsi"/>
              </w:rPr>
            </w:pPr>
            <w:r>
              <w:rPr>
                <w:rFonts w:eastAsia="Calibri"/>
              </w:rPr>
              <w:t>E</w:t>
            </w:r>
            <w:r w:rsidRPr="003159E5">
              <w:rPr>
                <w:rFonts w:eastAsia="Calibri"/>
              </w:rPr>
              <w:t>stablish a monitoring, evaluation and learning system for the project that covers both GPSA and CEPF results ‘frameworks.</w:t>
            </w:r>
          </w:p>
        </w:tc>
        <w:tc>
          <w:tcPr>
            <w:tcW w:w="2896" w:type="dxa"/>
          </w:tcPr>
          <w:p w14:paraId="3F2747F1" w14:textId="77777777" w:rsidR="00554F7A" w:rsidRDefault="00554F7A" w:rsidP="00C961AA">
            <w:pPr>
              <w:jc w:val="both"/>
            </w:pPr>
            <w:r w:rsidRPr="00EE62E5">
              <w:t>Transmission of communicable disease</w:t>
            </w:r>
            <w:r>
              <w:t>s</w:t>
            </w:r>
            <w:r w:rsidRPr="00EE62E5">
              <w:t xml:space="preserve">, </w:t>
            </w:r>
            <w:r>
              <w:t xml:space="preserve">particularly </w:t>
            </w:r>
            <w:r w:rsidRPr="00EE62E5">
              <w:t>COVID-19</w:t>
            </w:r>
            <w:r>
              <w:t>, to local stakeholders.</w:t>
            </w:r>
          </w:p>
          <w:p w14:paraId="60FFC157" w14:textId="77777777" w:rsidR="00554F7A" w:rsidRPr="00EE62E5" w:rsidRDefault="00554F7A" w:rsidP="00C961AA">
            <w:pPr>
              <w:jc w:val="both"/>
              <w:rPr>
                <w:rFonts w:cstheme="minorHAnsi"/>
              </w:rPr>
            </w:pPr>
          </w:p>
          <w:p w14:paraId="62B6B6FB" w14:textId="4EA909CF" w:rsidR="00084718" w:rsidRDefault="00554F7A" w:rsidP="00C961AA">
            <w:pPr>
              <w:jc w:val="both"/>
              <w:rPr>
                <w:rFonts w:cstheme="minorHAnsi"/>
              </w:rPr>
            </w:pPr>
            <w:r>
              <w:rPr>
                <w:rFonts w:cstheme="minorHAnsi"/>
              </w:rPr>
              <w:t>Risks</w:t>
            </w:r>
            <w:r w:rsidRPr="00EE62E5">
              <w:rPr>
                <w:rFonts w:cstheme="minorHAnsi"/>
              </w:rPr>
              <w:t xml:space="preserve"> related to</w:t>
            </w:r>
            <w:r w:rsidRPr="00EE62E5">
              <w:t xml:space="preserve"> hurricanes, earthquakes and other natural disasters</w:t>
            </w:r>
            <w:r>
              <w:t>.</w:t>
            </w:r>
          </w:p>
        </w:tc>
        <w:tc>
          <w:tcPr>
            <w:tcW w:w="1356" w:type="dxa"/>
          </w:tcPr>
          <w:p w14:paraId="1696B685" w14:textId="77777777" w:rsidR="00084718" w:rsidRDefault="00084718" w:rsidP="00C961AA">
            <w:pPr>
              <w:jc w:val="both"/>
              <w:rPr>
                <w:rFonts w:cstheme="minorHAnsi"/>
              </w:rPr>
            </w:pPr>
            <w:r>
              <w:rPr>
                <w:rFonts w:cstheme="minorHAnsi"/>
              </w:rPr>
              <w:t>High</w:t>
            </w:r>
          </w:p>
          <w:p w14:paraId="2EE4BF0B" w14:textId="77777777" w:rsidR="00084718" w:rsidRDefault="00084718" w:rsidP="00C961AA">
            <w:pPr>
              <w:jc w:val="both"/>
              <w:rPr>
                <w:rFonts w:cstheme="minorHAnsi"/>
              </w:rPr>
            </w:pPr>
          </w:p>
          <w:p w14:paraId="1881E1B7" w14:textId="77777777" w:rsidR="00084718" w:rsidRDefault="00084718" w:rsidP="00C961AA">
            <w:pPr>
              <w:jc w:val="both"/>
              <w:rPr>
                <w:rFonts w:cstheme="minorHAnsi"/>
              </w:rPr>
            </w:pPr>
          </w:p>
          <w:p w14:paraId="49BCDF5B" w14:textId="77777777" w:rsidR="00084718" w:rsidRDefault="00084718" w:rsidP="00C961AA">
            <w:pPr>
              <w:jc w:val="both"/>
              <w:rPr>
                <w:rFonts w:cstheme="minorHAnsi"/>
              </w:rPr>
            </w:pPr>
          </w:p>
          <w:p w14:paraId="6DD17089" w14:textId="77777777" w:rsidR="00084718" w:rsidRDefault="00084718" w:rsidP="00C961AA">
            <w:pPr>
              <w:jc w:val="both"/>
              <w:rPr>
                <w:rFonts w:cstheme="minorHAnsi"/>
              </w:rPr>
            </w:pPr>
          </w:p>
          <w:p w14:paraId="16D726BE" w14:textId="77777777" w:rsidR="00084718" w:rsidRDefault="00084718" w:rsidP="00C961AA">
            <w:pPr>
              <w:jc w:val="both"/>
              <w:rPr>
                <w:rFonts w:cstheme="minorHAnsi"/>
              </w:rPr>
            </w:pPr>
            <w:r>
              <w:rPr>
                <w:rFonts w:cstheme="minorHAnsi"/>
              </w:rPr>
              <w:t>High</w:t>
            </w:r>
          </w:p>
        </w:tc>
        <w:tc>
          <w:tcPr>
            <w:tcW w:w="1275" w:type="dxa"/>
          </w:tcPr>
          <w:p w14:paraId="56F5FAF3" w14:textId="77777777" w:rsidR="00084718" w:rsidRDefault="00084718" w:rsidP="00C961AA">
            <w:pPr>
              <w:jc w:val="both"/>
              <w:rPr>
                <w:rFonts w:cstheme="minorHAnsi"/>
              </w:rPr>
            </w:pPr>
            <w:r>
              <w:rPr>
                <w:rFonts w:cstheme="minorHAnsi"/>
              </w:rPr>
              <w:t>High</w:t>
            </w:r>
          </w:p>
          <w:p w14:paraId="35A91166" w14:textId="77777777" w:rsidR="00084718" w:rsidRDefault="00084718" w:rsidP="00C961AA">
            <w:pPr>
              <w:jc w:val="both"/>
              <w:rPr>
                <w:rFonts w:cstheme="minorHAnsi"/>
              </w:rPr>
            </w:pPr>
          </w:p>
          <w:p w14:paraId="320D36B8" w14:textId="77777777" w:rsidR="00084718" w:rsidRDefault="00084718" w:rsidP="00C961AA">
            <w:pPr>
              <w:jc w:val="both"/>
              <w:rPr>
                <w:rFonts w:cstheme="minorHAnsi"/>
              </w:rPr>
            </w:pPr>
          </w:p>
          <w:p w14:paraId="3FF90151" w14:textId="77777777" w:rsidR="00084718" w:rsidRDefault="00084718" w:rsidP="00C961AA">
            <w:pPr>
              <w:jc w:val="both"/>
              <w:rPr>
                <w:rFonts w:cstheme="minorHAnsi"/>
              </w:rPr>
            </w:pPr>
          </w:p>
          <w:p w14:paraId="4EB45D69" w14:textId="77777777" w:rsidR="00084718" w:rsidRDefault="00084718" w:rsidP="00C961AA">
            <w:pPr>
              <w:jc w:val="both"/>
              <w:rPr>
                <w:rFonts w:cstheme="minorHAnsi"/>
              </w:rPr>
            </w:pPr>
          </w:p>
          <w:p w14:paraId="78706EF1" w14:textId="77777777" w:rsidR="00084718" w:rsidRDefault="00084718" w:rsidP="00C961AA">
            <w:pPr>
              <w:jc w:val="both"/>
              <w:rPr>
                <w:rFonts w:cstheme="minorHAnsi"/>
              </w:rPr>
            </w:pPr>
            <w:r>
              <w:rPr>
                <w:rFonts w:cstheme="minorHAnsi"/>
              </w:rPr>
              <w:t>High</w:t>
            </w:r>
          </w:p>
        </w:tc>
      </w:tr>
    </w:tbl>
    <w:p w14:paraId="40537AF0" w14:textId="77777777" w:rsidR="00084718" w:rsidRPr="00084718" w:rsidRDefault="00084718" w:rsidP="00C961AA">
      <w:pPr>
        <w:pStyle w:val="ListParagraph"/>
        <w:spacing w:after="0"/>
        <w:ind w:left="360"/>
        <w:jc w:val="both"/>
        <w:rPr>
          <w:rFonts w:cstheme="minorHAnsi"/>
        </w:rPr>
      </w:pPr>
    </w:p>
    <w:p w14:paraId="3930A06F" w14:textId="625A3771" w:rsidR="00F06082" w:rsidRDefault="00F06082" w:rsidP="00C961AA">
      <w:pPr>
        <w:pStyle w:val="Heading1"/>
        <w:jc w:val="both"/>
        <w:rPr>
          <w:rFonts w:cstheme="minorHAnsi"/>
        </w:rPr>
      </w:pPr>
      <w:r>
        <w:rPr>
          <w:rFonts w:cstheme="minorHAnsi"/>
          <w:bCs/>
          <w:u w:val="single"/>
        </w:rPr>
        <w:t>Risk m</w:t>
      </w:r>
      <w:r w:rsidRPr="005B51CF">
        <w:rPr>
          <w:rFonts w:cstheme="minorHAnsi"/>
          <w:bCs/>
          <w:u w:val="single"/>
        </w:rPr>
        <w:t>itigation measures</w:t>
      </w:r>
      <w:r w:rsidRPr="005B51CF">
        <w:rPr>
          <w:rFonts w:cstheme="minorHAnsi"/>
          <w:bCs/>
        </w:rPr>
        <w:t>:</w:t>
      </w:r>
      <w:r w:rsidRPr="005B51CF">
        <w:rPr>
          <w:rFonts w:cstheme="minorHAnsi"/>
        </w:rPr>
        <w:t xml:space="preserve"> </w:t>
      </w:r>
    </w:p>
    <w:p w14:paraId="3A0DD067" w14:textId="4651C34E" w:rsidR="00554F7A" w:rsidRDefault="00554F7A" w:rsidP="00C961AA">
      <w:pPr>
        <w:spacing w:after="0"/>
        <w:jc w:val="both"/>
        <w:rPr>
          <w:rFonts w:cstheme="minorHAnsi"/>
        </w:rPr>
      </w:pPr>
    </w:p>
    <w:p w14:paraId="28D93F0E" w14:textId="0AAF9F1A" w:rsidR="00554F7A" w:rsidRPr="009D29BA" w:rsidRDefault="00554F7A" w:rsidP="00C961AA">
      <w:pPr>
        <w:autoSpaceDE w:val="0"/>
        <w:autoSpaceDN w:val="0"/>
        <w:adjustRightInd w:val="0"/>
        <w:spacing w:after="0" w:line="240" w:lineRule="auto"/>
        <w:jc w:val="both"/>
        <w:rPr>
          <w:rFonts w:cstheme="minorHAnsi"/>
        </w:rPr>
      </w:pPr>
      <w:r>
        <w:rPr>
          <w:rFonts w:cstheme="minorHAnsi"/>
          <w:lang w:val="en-GB"/>
        </w:rPr>
        <w:t>INTEC and IH</w:t>
      </w:r>
      <w:r w:rsidR="009D38C1">
        <w:rPr>
          <w:rFonts w:cstheme="minorHAnsi"/>
          <w:lang w:val="en-GB"/>
        </w:rPr>
        <w:t>O</w:t>
      </w:r>
      <w:r>
        <w:rPr>
          <w:rFonts w:cstheme="minorHAnsi"/>
          <w:lang w:val="en-GB"/>
        </w:rPr>
        <w:t xml:space="preserve"> </w:t>
      </w:r>
      <w:r w:rsidR="009D38C1">
        <w:rPr>
          <w:rFonts w:cstheme="minorHAnsi"/>
          <w:lang w:val="en-GB"/>
        </w:rPr>
        <w:t xml:space="preserve">(the CSAT) </w:t>
      </w:r>
      <w:r w:rsidRPr="009D29BA">
        <w:rPr>
          <w:rFonts w:cstheme="minorHAnsi"/>
          <w:lang w:val="en-GB"/>
        </w:rPr>
        <w:t xml:space="preserve">work </w:t>
      </w:r>
      <w:r>
        <w:rPr>
          <w:rFonts w:cstheme="minorHAnsi"/>
          <w:lang w:val="en-GB"/>
        </w:rPr>
        <w:t>will t</w:t>
      </w:r>
      <w:r w:rsidRPr="009D29BA">
        <w:rPr>
          <w:rFonts w:cstheme="minorHAnsi"/>
          <w:lang w:val="en-GB"/>
        </w:rPr>
        <w:t>ake place</w:t>
      </w:r>
      <w:r>
        <w:rPr>
          <w:rFonts w:cstheme="minorHAnsi"/>
          <w:lang w:val="en-GB"/>
        </w:rPr>
        <w:t xml:space="preserve"> both </w:t>
      </w:r>
      <w:r w:rsidRPr="009D29BA">
        <w:rPr>
          <w:rFonts w:cstheme="minorHAnsi"/>
          <w:lang w:val="en-GB"/>
        </w:rPr>
        <w:t>virtually</w:t>
      </w:r>
      <w:r>
        <w:rPr>
          <w:rFonts w:cstheme="minorHAnsi"/>
          <w:lang w:val="en-GB"/>
        </w:rPr>
        <w:t xml:space="preserve"> and </w:t>
      </w:r>
      <w:r w:rsidRPr="009D29BA">
        <w:rPr>
          <w:rFonts w:cstheme="minorHAnsi"/>
          <w:lang w:val="en-GB"/>
        </w:rPr>
        <w:t>face-to-face</w:t>
      </w:r>
      <w:r w:rsidR="009D38C1">
        <w:rPr>
          <w:rFonts w:cstheme="minorHAnsi"/>
          <w:lang w:val="en-GB"/>
        </w:rPr>
        <w:t xml:space="preserve"> in all four years in the Dominican Republic and Antigua and Barbuda. In Years 2 to 4, consultants contracted in Jamaica and Saint </w:t>
      </w:r>
      <w:r w:rsidR="009D38C1">
        <w:rPr>
          <w:rFonts w:cstheme="minorHAnsi"/>
          <w:lang w:val="en-GB"/>
        </w:rPr>
        <w:lastRenderedPageBreak/>
        <w:t xml:space="preserve">Lucia will also engage both </w:t>
      </w:r>
      <w:r w:rsidR="009D38C1" w:rsidRPr="009D29BA">
        <w:rPr>
          <w:rFonts w:cstheme="minorHAnsi"/>
          <w:lang w:val="en-GB"/>
        </w:rPr>
        <w:t>virtually</w:t>
      </w:r>
      <w:r w:rsidR="009D38C1">
        <w:rPr>
          <w:rFonts w:cstheme="minorHAnsi"/>
          <w:lang w:val="en-GB"/>
        </w:rPr>
        <w:t xml:space="preserve"> and </w:t>
      </w:r>
      <w:r w:rsidR="009D38C1" w:rsidRPr="009D29BA">
        <w:rPr>
          <w:rFonts w:cstheme="minorHAnsi"/>
          <w:lang w:val="en-GB"/>
        </w:rPr>
        <w:t>face-to-face</w:t>
      </w:r>
      <w:r w:rsidR="009D38C1">
        <w:rPr>
          <w:rFonts w:cstheme="minorHAnsi"/>
          <w:lang w:val="en-GB"/>
        </w:rPr>
        <w:t>. F</w:t>
      </w:r>
      <w:r w:rsidR="009D38C1" w:rsidRPr="009D29BA">
        <w:rPr>
          <w:rFonts w:cstheme="minorHAnsi"/>
          <w:lang w:val="en-GB"/>
        </w:rPr>
        <w:t>ace-to-face</w:t>
      </w:r>
      <w:r w:rsidR="009D38C1">
        <w:rPr>
          <w:rFonts w:cstheme="minorHAnsi"/>
          <w:lang w:val="en-GB"/>
        </w:rPr>
        <w:t xml:space="preserve"> meetings </w:t>
      </w:r>
      <w:r>
        <w:rPr>
          <w:rFonts w:cstheme="minorHAnsi"/>
          <w:lang w:val="en-GB"/>
        </w:rPr>
        <w:t xml:space="preserve">will </w:t>
      </w:r>
      <w:r w:rsidRPr="009D29BA">
        <w:rPr>
          <w:rFonts w:cstheme="minorHAnsi"/>
          <w:lang w:val="en-GB"/>
        </w:rPr>
        <w:t xml:space="preserve">follow national guidelines and COVID-related regulations. </w:t>
      </w:r>
      <w:r w:rsidRPr="009D29BA">
        <w:rPr>
          <w:rFonts w:cstheme="minorHAnsi"/>
        </w:rPr>
        <w:t xml:space="preserve">Throughout the project, </w:t>
      </w:r>
      <w:r w:rsidR="009D38C1">
        <w:rPr>
          <w:rFonts w:cstheme="minorHAnsi"/>
        </w:rPr>
        <w:t>each</w:t>
      </w:r>
      <w:r w:rsidRPr="009D29BA">
        <w:rPr>
          <w:rFonts w:cstheme="minorHAnsi"/>
        </w:rPr>
        <w:t xml:space="preserve"> country’s specific regulations and guidelines related to COVID-19 </w:t>
      </w:r>
      <w:r w:rsidR="009D38C1">
        <w:rPr>
          <w:rFonts w:cstheme="minorHAnsi"/>
        </w:rPr>
        <w:t xml:space="preserve">will be updated </w:t>
      </w:r>
      <w:r w:rsidRPr="009D29BA">
        <w:rPr>
          <w:rFonts w:cstheme="minorHAnsi"/>
        </w:rPr>
        <w:t>on a frequent basis</w:t>
      </w:r>
      <w:r w:rsidR="009D38C1">
        <w:rPr>
          <w:rFonts w:cstheme="minorHAnsi"/>
        </w:rPr>
        <w:t xml:space="preserve">. The CSAT </w:t>
      </w:r>
      <w:r w:rsidRPr="009D29BA">
        <w:rPr>
          <w:rFonts w:cstheme="minorHAnsi"/>
        </w:rPr>
        <w:t>will work closely with the CEPF Secretariat</w:t>
      </w:r>
      <w:r w:rsidR="009D38C1">
        <w:rPr>
          <w:rFonts w:cstheme="minorHAnsi"/>
        </w:rPr>
        <w:t>, the RIT,</w:t>
      </w:r>
      <w:r w:rsidRPr="009D29BA">
        <w:rPr>
          <w:rFonts w:cstheme="minorHAnsi"/>
        </w:rPr>
        <w:t xml:space="preserve"> and in-country </w:t>
      </w:r>
      <w:r w:rsidR="009D38C1">
        <w:rPr>
          <w:rFonts w:cstheme="minorHAnsi"/>
        </w:rPr>
        <w:t xml:space="preserve">consultants </w:t>
      </w:r>
      <w:r w:rsidRPr="009D29BA">
        <w:rPr>
          <w:rFonts w:cstheme="minorHAnsi"/>
        </w:rPr>
        <w:t xml:space="preserve">to make decisions that put the health and safety of everyone as the highest priority. </w:t>
      </w:r>
      <w:r w:rsidR="00351810">
        <w:rPr>
          <w:rFonts w:cstheme="minorHAnsi"/>
        </w:rPr>
        <w:t xml:space="preserve">The </w:t>
      </w:r>
      <w:r w:rsidR="009D38C1">
        <w:rPr>
          <w:rFonts w:cstheme="minorHAnsi"/>
        </w:rPr>
        <w:t>CSAT</w:t>
      </w:r>
      <w:r w:rsidRPr="009D29BA">
        <w:rPr>
          <w:rFonts w:cstheme="minorHAnsi"/>
          <w:lang w:val="en-GB"/>
        </w:rPr>
        <w:t xml:space="preserve"> will also work within the guidance issued by the World Bank on conducting public meetings and engaging stakeholders as outlined in the ESMF. </w:t>
      </w:r>
    </w:p>
    <w:p w14:paraId="3154BE66" w14:textId="77777777" w:rsidR="00554F7A" w:rsidRDefault="00554F7A" w:rsidP="00C961AA">
      <w:pPr>
        <w:spacing w:after="0"/>
        <w:jc w:val="both"/>
      </w:pPr>
    </w:p>
    <w:p w14:paraId="1B191F61" w14:textId="7292227D" w:rsidR="00554F7A" w:rsidRPr="00EE62E5" w:rsidRDefault="00554F7A" w:rsidP="00C961AA">
      <w:pPr>
        <w:spacing w:after="0"/>
        <w:jc w:val="both"/>
      </w:pPr>
      <w:r>
        <w:t xml:space="preserve">Specifically, the </w:t>
      </w:r>
      <w:r w:rsidR="00351810">
        <w:t>CSAT</w:t>
      </w:r>
      <w:r>
        <w:t xml:space="preserve"> will put the following measures in place during project implementation:</w:t>
      </w:r>
    </w:p>
    <w:p w14:paraId="2DD59B4A" w14:textId="0A1CE659" w:rsidR="00554F7A" w:rsidRDefault="00554F7A" w:rsidP="00C961AA">
      <w:pPr>
        <w:pStyle w:val="ListParagraph"/>
        <w:numPr>
          <w:ilvl w:val="0"/>
          <w:numId w:val="4"/>
        </w:numPr>
        <w:autoSpaceDE w:val="0"/>
        <w:autoSpaceDN w:val="0"/>
        <w:adjustRightInd w:val="0"/>
        <w:spacing w:after="0" w:line="240" w:lineRule="auto"/>
        <w:jc w:val="both"/>
        <w:rPr>
          <w:rFonts w:cstheme="minorHAnsi"/>
          <w:b/>
          <w:bCs/>
          <w:i/>
          <w:iCs/>
          <w:lang w:val="en-GB"/>
        </w:rPr>
      </w:pPr>
      <w:r>
        <w:rPr>
          <w:rFonts w:cstheme="minorHAnsi"/>
          <w:b/>
          <w:bCs/>
          <w:i/>
          <w:iCs/>
          <w:lang w:val="en-GB"/>
        </w:rPr>
        <w:t>M</w:t>
      </w:r>
      <w:r w:rsidRPr="00F1403C">
        <w:rPr>
          <w:rFonts w:cstheme="minorHAnsi"/>
          <w:b/>
          <w:bCs/>
          <w:i/>
          <w:iCs/>
          <w:lang w:val="en-GB"/>
        </w:rPr>
        <w:t xml:space="preserve">eetings with stakeholders: </w:t>
      </w:r>
      <w:r>
        <w:rPr>
          <w:rFonts w:cstheme="minorHAnsi"/>
          <w:lang w:val="en-GB"/>
        </w:rPr>
        <w:t xml:space="preserve">Face-to-face meetings and roundtables </w:t>
      </w:r>
      <w:r w:rsidR="00351810">
        <w:rPr>
          <w:rFonts w:cstheme="minorHAnsi"/>
          <w:lang w:val="en-GB"/>
        </w:rPr>
        <w:t xml:space="preserve">with </w:t>
      </w:r>
      <w:r w:rsidR="00EE7F5C">
        <w:rPr>
          <w:rFonts w:cstheme="minorHAnsi"/>
          <w:lang w:val="en-GB"/>
        </w:rPr>
        <w:t>CSOs</w:t>
      </w:r>
      <w:r w:rsidR="00351810">
        <w:rPr>
          <w:rFonts w:cstheme="minorHAnsi"/>
          <w:lang w:val="en-GB"/>
        </w:rPr>
        <w:t xml:space="preserve">, PSIs, and stakeholder </w:t>
      </w:r>
      <w:r>
        <w:rPr>
          <w:rFonts w:cstheme="minorHAnsi"/>
          <w:lang w:val="en-GB"/>
        </w:rPr>
        <w:t>partners will shift to virtual platforms on a case-by-case basis, following all national regulations and guidelines to safeguard people against transmission of COVID-19.</w:t>
      </w:r>
    </w:p>
    <w:p w14:paraId="1CA7FCDF" w14:textId="54AB4ECB" w:rsidR="00554F7A" w:rsidRPr="00F1403C" w:rsidRDefault="00554F7A" w:rsidP="00C961AA">
      <w:pPr>
        <w:pStyle w:val="ListParagraph"/>
        <w:numPr>
          <w:ilvl w:val="0"/>
          <w:numId w:val="4"/>
        </w:numPr>
        <w:autoSpaceDE w:val="0"/>
        <w:autoSpaceDN w:val="0"/>
        <w:adjustRightInd w:val="0"/>
        <w:spacing w:after="0" w:line="240" w:lineRule="auto"/>
        <w:jc w:val="both"/>
        <w:rPr>
          <w:rFonts w:cstheme="minorHAnsi"/>
          <w:b/>
          <w:bCs/>
          <w:i/>
          <w:iCs/>
          <w:lang w:val="en-GB"/>
        </w:rPr>
      </w:pPr>
      <w:r>
        <w:rPr>
          <w:rFonts w:cstheme="minorHAnsi"/>
          <w:b/>
          <w:bCs/>
          <w:i/>
          <w:iCs/>
          <w:lang w:val="en-GB"/>
        </w:rPr>
        <w:t xml:space="preserve">Capacity building: </w:t>
      </w:r>
      <w:r>
        <w:rPr>
          <w:rFonts w:cstheme="minorHAnsi"/>
          <w:lang w:val="en-GB"/>
        </w:rPr>
        <w:t xml:space="preserve">The </w:t>
      </w:r>
      <w:r w:rsidR="00351810">
        <w:rPr>
          <w:rFonts w:cstheme="minorHAnsi"/>
          <w:lang w:val="en-GB"/>
        </w:rPr>
        <w:t>CSAT’s</w:t>
      </w:r>
      <w:r>
        <w:rPr>
          <w:rFonts w:cstheme="minorHAnsi"/>
          <w:lang w:val="en-GB"/>
        </w:rPr>
        <w:t xml:space="preserve"> capacity building strategy will take into consideration capacity building activities that may take place at the community level and will outline appropriate mitigation strategies.</w:t>
      </w:r>
    </w:p>
    <w:p w14:paraId="739CABC2" w14:textId="372F95A1" w:rsidR="00554F7A" w:rsidRPr="00994267" w:rsidRDefault="00554F7A" w:rsidP="00C961AA">
      <w:pPr>
        <w:pStyle w:val="ListParagraph"/>
        <w:numPr>
          <w:ilvl w:val="0"/>
          <w:numId w:val="4"/>
        </w:numPr>
        <w:autoSpaceDE w:val="0"/>
        <w:autoSpaceDN w:val="0"/>
        <w:adjustRightInd w:val="0"/>
        <w:spacing w:after="0" w:line="240" w:lineRule="auto"/>
        <w:jc w:val="both"/>
        <w:rPr>
          <w:rFonts w:cstheme="minorHAnsi"/>
          <w:lang w:val="en-GB"/>
        </w:rPr>
      </w:pPr>
      <w:r w:rsidRPr="00F1403C">
        <w:rPr>
          <w:rFonts w:cstheme="minorHAnsi"/>
          <w:b/>
          <w:bCs/>
          <w:i/>
          <w:iCs/>
          <w:lang w:val="en-GB"/>
        </w:rPr>
        <w:t xml:space="preserve">Supervision missions of the </w:t>
      </w:r>
      <w:r w:rsidR="00351810">
        <w:rPr>
          <w:rFonts w:cstheme="minorHAnsi"/>
          <w:b/>
          <w:bCs/>
          <w:i/>
          <w:iCs/>
          <w:lang w:val="en-GB"/>
        </w:rPr>
        <w:t>CSAT</w:t>
      </w:r>
      <w:r w:rsidRPr="00F1403C">
        <w:rPr>
          <w:rFonts w:cstheme="minorHAnsi"/>
          <w:b/>
          <w:bCs/>
          <w:i/>
          <w:iCs/>
          <w:lang w:val="en-GB"/>
        </w:rPr>
        <w:t xml:space="preserve">: </w:t>
      </w:r>
      <w:r w:rsidR="00351810">
        <w:rPr>
          <w:rFonts w:cstheme="minorHAnsi"/>
          <w:lang w:val="en-GB"/>
        </w:rPr>
        <w:t xml:space="preserve">When </w:t>
      </w:r>
      <w:r w:rsidRPr="00F1403C">
        <w:rPr>
          <w:rFonts w:cstheme="minorHAnsi"/>
          <w:lang w:val="en-GB"/>
        </w:rPr>
        <w:t xml:space="preserve">in-country travel by </w:t>
      </w:r>
      <w:r w:rsidR="00351810">
        <w:rPr>
          <w:rFonts w:cstheme="minorHAnsi"/>
          <w:lang w:val="en-GB"/>
        </w:rPr>
        <w:t>the CSAT</w:t>
      </w:r>
      <w:r w:rsidRPr="00F1403C">
        <w:rPr>
          <w:rFonts w:cstheme="minorHAnsi"/>
          <w:lang w:val="en-GB"/>
        </w:rPr>
        <w:t xml:space="preserve"> staff is possible, </w:t>
      </w:r>
      <w:r w:rsidR="00351810">
        <w:rPr>
          <w:rFonts w:cstheme="minorHAnsi"/>
          <w:lang w:val="en-GB"/>
        </w:rPr>
        <w:t xml:space="preserve">the CSAT </w:t>
      </w:r>
      <w:r w:rsidRPr="00F1403C">
        <w:rPr>
          <w:rFonts w:cstheme="minorHAnsi"/>
          <w:lang w:val="en-GB"/>
        </w:rPr>
        <w:t xml:space="preserve">staff may undertake field visits to </w:t>
      </w:r>
      <w:r w:rsidR="00351810">
        <w:rPr>
          <w:rFonts w:cstheme="minorHAnsi"/>
          <w:lang w:val="en-GB"/>
        </w:rPr>
        <w:t>partner countries</w:t>
      </w:r>
      <w:r w:rsidRPr="00994267">
        <w:rPr>
          <w:rFonts w:cstheme="minorHAnsi"/>
          <w:lang w:val="en-GB"/>
        </w:rPr>
        <w:t xml:space="preserve">, and then discuss their findings during the mission. These visits will be documented in site visit reports prepared by the </w:t>
      </w:r>
      <w:r w:rsidR="00351810">
        <w:rPr>
          <w:rFonts w:cstheme="minorHAnsi"/>
          <w:lang w:val="en-GB"/>
        </w:rPr>
        <w:t>CSAT</w:t>
      </w:r>
      <w:r w:rsidRPr="00994267">
        <w:rPr>
          <w:rFonts w:cstheme="minorHAnsi"/>
          <w:lang w:val="en-GB"/>
        </w:rPr>
        <w:t>, while the overall mission will be documented in a supervision mission report prepared by the CEPF Grant Director.</w:t>
      </w:r>
    </w:p>
    <w:p w14:paraId="5C762CE2" w14:textId="300E620A" w:rsidR="00554F7A" w:rsidRDefault="00351810" w:rsidP="00C961AA">
      <w:pPr>
        <w:pStyle w:val="ListParagraph"/>
        <w:numPr>
          <w:ilvl w:val="0"/>
          <w:numId w:val="4"/>
        </w:numPr>
        <w:autoSpaceDE w:val="0"/>
        <w:autoSpaceDN w:val="0"/>
        <w:adjustRightInd w:val="0"/>
        <w:spacing w:after="0" w:line="240" w:lineRule="auto"/>
        <w:jc w:val="both"/>
        <w:rPr>
          <w:rFonts w:cstheme="minorHAnsi"/>
          <w:lang w:val="en-GB"/>
        </w:rPr>
      </w:pPr>
      <w:r>
        <w:rPr>
          <w:rFonts w:cstheme="minorHAnsi"/>
          <w:b/>
          <w:bCs/>
          <w:i/>
          <w:iCs/>
          <w:lang w:val="en-GB"/>
        </w:rPr>
        <w:t>T</w:t>
      </w:r>
      <w:r w:rsidR="00554F7A">
        <w:rPr>
          <w:rFonts w:cstheme="minorHAnsi"/>
          <w:b/>
          <w:bCs/>
          <w:i/>
          <w:iCs/>
          <w:lang w:val="en-GB"/>
        </w:rPr>
        <w:t>raining</w:t>
      </w:r>
      <w:r>
        <w:rPr>
          <w:rFonts w:cstheme="minorHAnsi"/>
          <w:b/>
          <w:bCs/>
          <w:i/>
          <w:iCs/>
          <w:lang w:val="en-GB"/>
        </w:rPr>
        <w:t xml:space="preserve"> and liaising with </w:t>
      </w:r>
      <w:r w:rsidR="00EE7F5C">
        <w:rPr>
          <w:rFonts w:cstheme="minorHAnsi"/>
          <w:b/>
          <w:bCs/>
          <w:i/>
          <w:iCs/>
          <w:lang w:val="en-GB"/>
        </w:rPr>
        <w:t>CSOs</w:t>
      </w:r>
      <w:r>
        <w:rPr>
          <w:rFonts w:cstheme="minorHAnsi"/>
          <w:b/>
          <w:bCs/>
          <w:i/>
          <w:iCs/>
          <w:lang w:val="en-GB"/>
        </w:rPr>
        <w:t xml:space="preserve"> and PSIs</w:t>
      </w:r>
      <w:r w:rsidR="00554F7A" w:rsidRPr="00994267">
        <w:rPr>
          <w:rFonts w:cstheme="minorHAnsi"/>
          <w:b/>
          <w:bCs/>
          <w:i/>
          <w:iCs/>
          <w:lang w:val="en-GB"/>
        </w:rPr>
        <w:t xml:space="preserve">: </w:t>
      </w:r>
      <w:r w:rsidR="00554F7A" w:rsidRPr="00994267">
        <w:rPr>
          <w:rFonts w:cstheme="minorHAnsi"/>
          <w:lang w:val="en-GB"/>
        </w:rPr>
        <w:t>Wh</w:t>
      </w:r>
      <w:r>
        <w:rPr>
          <w:rFonts w:cstheme="minorHAnsi"/>
          <w:lang w:val="en-GB"/>
        </w:rPr>
        <w:t xml:space="preserve">ere </w:t>
      </w:r>
      <w:r w:rsidR="00554F7A" w:rsidRPr="00994267">
        <w:rPr>
          <w:rFonts w:cstheme="minorHAnsi"/>
          <w:lang w:val="en-GB"/>
        </w:rPr>
        <w:t>restrictions related to the COVID-19 pandemic remain in place</w:t>
      </w:r>
      <w:r>
        <w:rPr>
          <w:rFonts w:cstheme="minorHAnsi"/>
          <w:lang w:val="en-GB"/>
        </w:rPr>
        <w:t xml:space="preserve">, </w:t>
      </w:r>
      <w:r w:rsidR="00554F7A" w:rsidRPr="00994267">
        <w:rPr>
          <w:rFonts w:cstheme="minorHAnsi"/>
          <w:lang w:val="en-GB"/>
        </w:rPr>
        <w:t xml:space="preserve">the emphasis will be on virtual mechanisms </w:t>
      </w:r>
      <w:r w:rsidR="00AB66FF">
        <w:rPr>
          <w:rFonts w:cstheme="minorHAnsi"/>
          <w:lang w:val="en-GB"/>
        </w:rPr>
        <w:t xml:space="preserve">such as </w:t>
      </w:r>
      <w:r w:rsidR="00554F7A" w:rsidRPr="00994267">
        <w:rPr>
          <w:rFonts w:cstheme="minorHAnsi"/>
          <w:lang w:val="en-GB"/>
        </w:rPr>
        <w:t xml:space="preserve">virtual meetings rather than face-to-face events. </w:t>
      </w:r>
      <w:r w:rsidR="00AB66FF">
        <w:rPr>
          <w:rFonts w:cstheme="minorHAnsi"/>
          <w:lang w:val="en-GB"/>
        </w:rPr>
        <w:t>All face-to-face</w:t>
      </w:r>
      <w:r w:rsidR="00554F7A" w:rsidRPr="00994267">
        <w:rPr>
          <w:rFonts w:cstheme="minorHAnsi"/>
          <w:lang w:val="en-GB"/>
        </w:rPr>
        <w:t xml:space="preserve"> exchanges </w:t>
      </w:r>
      <w:r w:rsidR="00AB66FF">
        <w:rPr>
          <w:rFonts w:cstheme="minorHAnsi"/>
          <w:lang w:val="en-GB"/>
        </w:rPr>
        <w:t xml:space="preserve">will </w:t>
      </w:r>
      <w:r w:rsidR="00554F7A" w:rsidRPr="00994267">
        <w:rPr>
          <w:rFonts w:cstheme="minorHAnsi"/>
          <w:lang w:val="en-GB"/>
        </w:rPr>
        <w:t>compl</w:t>
      </w:r>
      <w:r w:rsidR="00AB66FF">
        <w:rPr>
          <w:rFonts w:cstheme="minorHAnsi"/>
          <w:lang w:val="en-GB"/>
        </w:rPr>
        <w:t>y</w:t>
      </w:r>
      <w:r w:rsidR="00554F7A" w:rsidRPr="00994267">
        <w:rPr>
          <w:rFonts w:cstheme="minorHAnsi"/>
          <w:lang w:val="en-GB"/>
        </w:rPr>
        <w:t xml:space="preserve"> with national guidelines on COVID-19 (outdoor meetings, face coverings, etc.). </w:t>
      </w:r>
    </w:p>
    <w:p w14:paraId="3CA4BA3C" w14:textId="5EB1CD9B" w:rsidR="00554F7A" w:rsidRPr="00994267" w:rsidRDefault="00554F7A" w:rsidP="00C961AA">
      <w:pPr>
        <w:pStyle w:val="ListParagraph"/>
        <w:numPr>
          <w:ilvl w:val="0"/>
          <w:numId w:val="4"/>
        </w:numPr>
        <w:autoSpaceDE w:val="0"/>
        <w:autoSpaceDN w:val="0"/>
        <w:adjustRightInd w:val="0"/>
        <w:spacing w:after="0" w:line="240" w:lineRule="auto"/>
        <w:jc w:val="both"/>
        <w:rPr>
          <w:rFonts w:cstheme="minorHAnsi"/>
          <w:lang w:val="en-GB"/>
        </w:rPr>
      </w:pPr>
      <w:r>
        <w:rPr>
          <w:rFonts w:cstheme="minorHAnsi"/>
          <w:b/>
          <w:bCs/>
          <w:i/>
          <w:iCs/>
          <w:lang w:val="en-GB"/>
        </w:rPr>
        <w:t xml:space="preserve">Implementation of the collaborative social accountability programme </w:t>
      </w:r>
      <w:r w:rsidR="00AB66FF">
        <w:rPr>
          <w:rFonts w:cstheme="minorHAnsi"/>
          <w:b/>
          <w:bCs/>
          <w:i/>
          <w:iCs/>
          <w:lang w:val="en-GB"/>
        </w:rPr>
        <w:t xml:space="preserve">with the RIT </w:t>
      </w:r>
      <w:r>
        <w:rPr>
          <w:rFonts w:cstheme="minorHAnsi"/>
          <w:b/>
          <w:bCs/>
          <w:i/>
          <w:iCs/>
          <w:lang w:val="en-GB"/>
        </w:rPr>
        <w:t>in The Bahamas, Haiti and St</w:t>
      </w:r>
      <w:r w:rsidRPr="00443339">
        <w:rPr>
          <w:rFonts w:cstheme="minorHAnsi"/>
          <w:b/>
          <w:bCs/>
          <w:i/>
          <w:iCs/>
          <w:lang w:val="en-GB"/>
        </w:rPr>
        <w:t>. Vincent and the Grenadines:</w:t>
      </w:r>
      <w:r>
        <w:rPr>
          <w:rFonts w:cstheme="minorHAnsi"/>
          <w:lang w:val="en-GB"/>
        </w:rPr>
        <w:t xml:space="preserve"> The </w:t>
      </w:r>
      <w:r w:rsidR="00AB66FF">
        <w:rPr>
          <w:rFonts w:cstheme="minorHAnsi"/>
          <w:lang w:val="en-GB"/>
        </w:rPr>
        <w:t xml:space="preserve">CSAT will work with the </w:t>
      </w:r>
      <w:r>
        <w:rPr>
          <w:rFonts w:cstheme="minorHAnsi"/>
          <w:lang w:val="en-GB"/>
        </w:rPr>
        <w:t xml:space="preserve">RIT </w:t>
      </w:r>
      <w:r w:rsidR="00AB66FF">
        <w:rPr>
          <w:rFonts w:cstheme="minorHAnsi"/>
          <w:lang w:val="en-GB"/>
        </w:rPr>
        <w:t>to</w:t>
      </w:r>
      <w:r>
        <w:rPr>
          <w:rFonts w:cstheme="minorHAnsi"/>
          <w:lang w:val="en-GB"/>
        </w:rPr>
        <w:t xml:space="preserve"> ensure all necessary protocols are in place for in-person gatherings related to this component of the RIT’s project. Shifting to virtual means will also be done as needed.</w:t>
      </w:r>
    </w:p>
    <w:p w14:paraId="16896B5D" w14:textId="716EDBDC" w:rsidR="00554F7A" w:rsidRDefault="00C961AA" w:rsidP="00C961AA">
      <w:pPr>
        <w:tabs>
          <w:tab w:val="left" w:pos="3780"/>
        </w:tabs>
        <w:spacing w:after="0"/>
        <w:jc w:val="both"/>
      </w:pPr>
      <w:r>
        <w:tab/>
      </w:r>
    </w:p>
    <w:p w14:paraId="30E880EA" w14:textId="6AD1D47D" w:rsidR="00554F7A" w:rsidRDefault="00554F7A" w:rsidP="00C961AA">
      <w:pPr>
        <w:spacing w:after="0"/>
        <w:jc w:val="both"/>
        <w:rPr>
          <w:b/>
          <w:bCs/>
        </w:rPr>
      </w:pPr>
      <w:r w:rsidRPr="004257E8">
        <w:rPr>
          <w:b/>
          <w:bCs/>
        </w:rPr>
        <w:t>Mitigation against the risk of hurricanes, earthquakes</w:t>
      </w:r>
      <w:r w:rsidR="00351810">
        <w:rPr>
          <w:b/>
          <w:bCs/>
        </w:rPr>
        <w:t>,</w:t>
      </w:r>
      <w:r w:rsidRPr="004257E8">
        <w:rPr>
          <w:b/>
          <w:bCs/>
        </w:rPr>
        <w:t xml:space="preserve"> and other natural disasters</w:t>
      </w:r>
    </w:p>
    <w:p w14:paraId="599F0CB7" w14:textId="1E1970A3" w:rsidR="00554F7A" w:rsidRDefault="00554F7A" w:rsidP="00C961AA">
      <w:pPr>
        <w:spacing w:after="0"/>
        <w:jc w:val="both"/>
      </w:pPr>
      <w:r>
        <w:t xml:space="preserve">Flexibility will be shown in the timing and focus of </w:t>
      </w:r>
      <w:r w:rsidR="00AB66FF">
        <w:t xml:space="preserve">project implementation </w:t>
      </w:r>
      <w:r>
        <w:t>to respond to changing situations.</w:t>
      </w:r>
      <w:r w:rsidR="00AB66FF">
        <w:t xml:space="preserve"> </w:t>
      </w:r>
      <w:r>
        <w:t xml:space="preserve">The </w:t>
      </w:r>
      <w:r w:rsidR="00AB66FF">
        <w:t>CSAT</w:t>
      </w:r>
      <w:r>
        <w:t xml:space="preserve"> will be responsive to requests </w:t>
      </w:r>
      <w:r w:rsidR="00AB66FF">
        <w:t xml:space="preserve">to adapt </w:t>
      </w:r>
      <w:r>
        <w:t>to changing circumstances and respond to immediate humanitarian and subsequent recovery needs.</w:t>
      </w:r>
      <w:r w:rsidR="00B93299">
        <w:t xml:space="preserve"> </w:t>
      </w:r>
    </w:p>
    <w:p w14:paraId="45B7AE02" w14:textId="77777777" w:rsidR="00554F7A" w:rsidRPr="004257E8" w:rsidRDefault="00554F7A" w:rsidP="00C961AA">
      <w:pPr>
        <w:spacing w:after="0"/>
        <w:jc w:val="both"/>
        <w:rPr>
          <w:rFonts w:cstheme="minorHAnsi"/>
        </w:rPr>
      </w:pPr>
    </w:p>
    <w:p w14:paraId="1AD20F36" w14:textId="77777777" w:rsidR="00554F7A" w:rsidRPr="00026F63" w:rsidRDefault="00554F7A" w:rsidP="00C961AA">
      <w:pPr>
        <w:spacing w:after="0"/>
        <w:jc w:val="both"/>
        <w:rPr>
          <w:b/>
          <w:bCs/>
        </w:rPr>
      </w:pPr>
      <w:r w:rsidRPr="00026F63">
        <w:rPr>
          <w:b/>
          <w:bCs/>
        </w:rPr>
        <w:t>Relevant laws in project countries</w:t>
      </w:r>
    </w:p>
    <w:p w14:paraId="079E3854" w14:textId="77777777" w:rsidR="00554F7A" w:rsidRDefault="00554F7A" w:rsidP="00C961AA">
      <w:pPr>
        <w:spacing w:after="0"/>
        <w:jc w:val="both"/>
      </w:pPr>
      <w:r>
        <w:t>The CEPF Environmental and Social Management Framework (ESMF) outlines the following key laws in the project countries and their relevance to this Community Health and Safety Plan. The RIT will ensure that staff adhere to these laws and guidelines:</w:t>
      </w:r>
    </w:p>
    <w:p w14:paraId="5BE39A59" w14:textId="77777777" w:rsidR="00554F7A" w:rsidRDefault="00554F7A" w:rsidP="00C961AA">
      <w:pPr>
        <w:spacing w:after="0"/>
        <w:jc w:val="both"/>
      </w:pPr>
    </w:p>
    <w:tbl>
      <w:tblPr>
        <w:tblStyle w:val="TableGrid"/>
        <w:tblW w:w="0" w:type="auto"/>
        <w:tblLook w:val="04A0" w:firstRow="1" w:lastRow="0" w:firstColumn="1" w:lastColumn="0" w:noHBand="0" w:noVBand="1"/>
      </w:tblPr>
      <w:tblGrid>
        <w:gridCol w:w="1795"/>
        <w:gridCol w:w="2970"/>
        <w:gridCol w:w="4585"/>
      </w:tblGrid>
      <w:tr w:rsidR="00554F7A" w14:paraId="2602F194" w14:textId="77777777" w:rsidTr="00456455">
        <w:trPr>
          <w:cantSplit/>
          <w:tblHeader/>
        </w:trPr>
        <w:tc>
          <w:tcPr>
            <w:tcW w:w="1795" w:type="dxa"/>
          </w:tcPr>
          <w:p w14:paraId="45A52C23" w14:textId="77777777" w:rsidR="00554F7A" w:rsidRPr="00991E5F" w:rsidRDefault="00554F7A" w:rsidP="00C961AA">
            <w:pPr>
              <w:jc w:val="both"/>
              <w:rPr>
                <w:b/>
                <w:bCs/>
              </w:rPr>
            </w:pPr>
            <w:r>
              <w:rPr>
                <w:b/>
                <w:bCs/>
              </w:rPr>
              <w:t>Country</w:t>
            </w:r>
          </w:p>
        </w:tc>
        <w:tc>
          <w:tcPr>
            <w:tcW w:w="2970" w:type="dxa"/>
          </w:tcPr>
          <w:p w14:paraId="6C9B1274" w14:textId="77777777" w:rsidR="00554F7A" w:rsidRPr="00991E5F" w:rsidRDefault="00554F7A" w:rsidP="00C961AA">
            <w:pPr>
              <w:jc w:val="both"/>
              <w:rPr>
                <w:b/>
                <w:bCs/>
              </w:rPr>
            </w:pPr>
            <w:r>
              <w:rPr>
                <w:b/>
                <w:bCs/>
              </w:rPr>
              <w:t>Law</w:t>
            </w:r>
          </w:p>
        </w:tc>
        <w:tc>
          <w:tcPr>
            <w:tcW w:w="4585" w:type="dxa"/>
          </w:tcPr>
          <w:p w14:paraId="141FE0E2" w14:textId="77777777" w:rsidR="00554F7A" w:rsidRPr="00991E5F" w:rsidRDefault="00554F7A" w:rsidP="00C961AA">
            <w:pPr>
              <w:jc w:val="both"/>
              <w:rPr>
                <w:b/>
                <w:bCs/>
              </w:rPr>
            </w:pPr>
            <w:r w:rsidRPr="00991E5F">
              <w:rPr>
                <w:b/>
                <w:bCs/>
              </w:rPr>
              <w:t xml:space="preserve">Relevance to </w:t>
            </w:r>
            <w:r>
              <w:rPr>
                <w:b/>
                <w:bCs/>
              </w:rPr>
              <w:t>ESS4</w:t>
            </w:r>
          </w:p>
        </w:tc>
      </w:tr>
      <w:tr w:rsidR="00554F7A" w14:paraId="346E1487" w14:textId="77777777" w:rsidTr="00456455">
        <w:tc>
          <w:tcPr>
            <w:tcW w:w="1795" w:type="dxa"/>
          </w:tcPr>
          <w:p w14:paraId="59FA8C70" w14:textId="77777777" w:rsidR="00554F7A" w:rsidRDefault="00554F7A" w:rsidP="00C961AA">
            <w:pPr>
              <w:jc w:val="both"/>
            </w:pPr>
            <w:r>
              <w:t>Antigua and Barbuda</w:t>
            </w:r>
          </w:p>
        </w:tc>
        <w:tc>
          <w:tcPr>
            <w:tcW w:w="2970" w:type="dxa"/>
          </w:tcPr>
          <w:p w14:paraId="7BEA7E13" w14:textId="77777777" w:rsidR="00554F7A" w:rsidRDefault="00554F7A" w:rsidP="00C961AA">
            <w:pPr>
              <w:jc w:val="both"/>
            </w:pPr>
            <w:r w:rsidRPr="00E415A0">
              <w:t>Environmental Protection and Management Act</w:t>
            </w:r>
            <w:r>
              <w:t xml:space="preserve"> (</w:t>
            </w:r>
            <w:r w:rsidRPr="00E415A0">
              <w:t>2015</w:t>
            </w:r>
            <w:r>
              <w:t>)</w:t>
            </w:r>
          </w:p>
        </w:tc>
        <w:tc>
          <w:tcPr>
            <w:tcW w:w="4585" w:type="dxa"/>
          </w:tcPr>
          <w:p w14:paraId="6DF3937D" w14:textId="77777777" w:rsidR="00554F7A" w:rsidRDefault="00554F7A" w:rsidP="00C961AA">
            <w:pPr>
              <w:jc w:val="both"/>
            </w:pPr>
            <w:r>
              <w:t>Provides for measures for the control and mitigation of all forms of environmental degradation or pollution including the management of pesticides and other hazardous substances to protect human health and maintain the quality of the environment.</w:t>
            </w:r>
          </w:p>
        </w:tc>
      </w:tr>
      <w:tr w:rsidR="00554F7A" w14:paraId="3D7FA272" w14:textId="77777777" w:rsidTr="00456455">
        <w:tc>
          <w:tcPr>
            <w:tcW w:w="1795" w:type="dxa"/>
          </w:tcPr>
          <w:p w14:paraId="7E164B17" w14:textId="77777777" w:rsidR="00554F7A" w:rsidRDefault="00554F7A" w:rsidP="00C961AA">
            <w:pPr>
              <w:jc w:val="both"/>
            </w:pPr>
            <w:r>
              <w:lastRenderedPageBreak/>
              <w:t>Antigua and Barbuda</w:t>
            </w:r>
          </w:p>
        </w:tc>
        <w:tc>
          <w:tcPr>
            <w:tcW w:w="2970" w:type="dxa"/>
          </w:tcPr>
          <w:p w14:paraId="384BBF92" w14:textId="77777777" w:rsidR="00554F7A" w:rsidRDefault="00554F7A" w:rsidP="00C961AA">
            <w:pPr>
              <w:jc w:val="both"/>
            </w:pPr>
            <w:r>
              <w:t>Public Health Act (1957; amended)</w:t>
            </w:r>
          </w:p>
        </w:tc>
        <w:tc>
          <w:tcPr>
            <w:tcW w:w="4585" w:type="dxa"/>
          </w:tcPr>
          <w:p w14:paraId="4D011496" w14:textId="77777777" w:rsidR="00554F7A" w:rsidRDefault="00554F7A" w:rsidP="00C961AA">
            <w:pPr>
              <w:jc w:val="both"/>
            </w:pPr>
            <w:r>
              <w:t>M</w:t>
            </w:r>
            <w:r w:rsidRPr="008115A5">
              <w:t>akes provisions for various matters relating to public health</w:t>
            </w:r>
            <w:r>
              <w:t>, including with regards to notification and control of infectious diseases.</w:t>
            </w:r>
          </w:p>
        </w:tc>
      </w:tr>
      <w:tr w:rsidR="00554F7A" w14:paraId="2379952D" w14:textId="77777777" w:rsidTr="00456455">
        <w:tc>
          <w:tcPr>
            <w:tcW w:w="1795" w:type="dxa"/>
          </w:tcPr>
          <w:p w14:paraId="25E9EA58" w14:textId="77777777" w:rsidR="00554F7A" w:rsidRDefault="00554F7A" w:rsidP="00C961AA">
            <w:pPr>
              <w:jc w:val="both"/>
            </w:pPr>
            <w:r>
              <w:t>Dominican Republic</w:t>
            </w:r>
          </w:p>
        </w:tc>
        <w:tc>
          <w:tcPr>
            <w:tcW w:w="2970" w:type="dxa"/>
          </w:tcPr>
          <w:p w14:paraId="19CFF8C7" w14:textId="77777777" w:rsidR="00554F7A" w:rsidRDefault="00554F7A" w:rsidP="00C961AA">
            <w:pPr>
              <w:jc w:val="both"/>
            </w:pPr>
            <w:r>
              <w:t>General Health Law (2001)</w:t>
            </w:r>
          </w:p>
        </w:tc>
        <w:tc>
          <w:tcPr>
            <w:tcW w:w="4585" w:type="dxa"/>
          </w:tcPr>
          <w:p w14:paraId="5A87B6B8" w14:textId="77777777" w:rsidR="00554F7A" w:rsidRDefault="00554F7A" w:rsidP="00C961AA">
            <w:pPr>
              <w:jc w:val="both"/>
            </w:pPr>
            <w:r>
              <w:t>Defines the role of the state in relation to fulfilling citizen’s rights to health.</w:t>
            </w:r>
          </w:p>
        </w:tc>
      </w:tr>
      <w:tr w:rsidR="00554F7A" w14:paraId="32B0B83B" w14:textId="77777777" w:rsidTr="00456455">
        <w:tc>
          <w:tcPr>
            <w:tcW w:w="1795" w:type="dxa"/>
          </w:tcPr>
          <w:p w14:paraId="0A5C9B25" w14:textId="77777777" w:rsidR="00554F7A" w:rsidRDefault="00554F7A" w:rsidP="00C961AA">
            <w:pPr>
              <w:jc w:val="both"/>
            </w:pPr>
            <w:r>
              <w:t>Jamaica</w:t>
            </w:r>
          </w:p>
        </w:tc>
        <w:tc>
          <w:tcPr>
            <w:tcW w:w="2970" w:type="dxa"/>
          </w:tcPr>
          <w:p w14:paraId="1DB88BF9" w14:textId="77777777" w:rsidR="00554F7A" w:rsidRDefault="00554F7A" w:rsidP="00C961AA">
            <w:pPr>
              <w:jc w:val="both"/>
            </w:pPr>
            <w:r w:rsidRPr="009D1CCD">
              <w:t xml:space="preserve">Public Health </w:t>
            </w:r>
            <w:r>
              <w:t>Act (2003)</w:t>
            </w:r>
          </w:p>
        </w:tc>
        <w:tc>
          <w:tcPr>
            <w:tcW w:w="4585" w:type="dxa"/>
          </w:tcPr>
          <w:p w14:paraId="4BDE8568" w14:textId="77777777" w:rsidR="00554F7A" w:rsidRDefault="00554F7A" w:rsidP="00C961AA">
            <w:pPr>
              <w:jc w:val="both"/>
            </w:pPr>
            <w:r>
              <w:t>Provides a list of communicable diseases that must be notified to the competent authorities.</w:t>
            </w:r>
          </w:p>
        </w:tc>
      </w:tr>
      <w:tr w:rsidR="00554F7A" w14:paraId="0523502F" w14:textId="77777777" w:rsidTr="00456455">
        <w:tc>
          <w:tcPr>
            <w:tcW w:w="1795" w:type="dxa"/>
          </w:tcPr>
          <w:p w14:paraId="409873EB" w14:textId="77777777" w:rsidR="00554F7A" w:rsidRDefault="00554F7A" w:rsidP="00C961AA">
            <w:pPr>
              <w:jc w:val="both"/>
            </w:pPr>
            <w:r>
              <w:t>Jamaica</w:t>
            </w:r>
          </w:p>
        </w:tc>
        <w:tc>
          <w:tcPr>
            <w:tcW w:w="2970" w:type="dxa"/>
          </w:tcPr>
          <w:p w14:paraId="33A3D8F6" w14:textId="77777777" w:rsidR="00554F7A" w:rsidRDefault="00554F7A" w:rsidP="00C961AA">
            <w:pPr>
              <w:jc w:val="both"/>
            </w:pPr>
            <w:r w:rsidRPr="009D1CCD">
              <w:t>Disaster Preparedness and Emergency Management Act</w:t>
            </w:r>
            <w:r>
              <w:t xml:space="preserve"> (1993)</w:t>
            </w:r>
          </w:p>
        </w:tc>
        <w:tc>
          <w:tcPr>
            <w:tcW w:w="4585" w:type="dxa"/>
          </w:tcPr>
          <w:p w14:paraId="2FC71FFF" w14:textId="77777777" w:rsidR="00554F7A" w:rsidRDefault="00554F7A" w:rsidP="00C961AA">
            <w:pPr>
              <w:jc w:val="both"/>
            </w:pPr>
            <w:r>
              <w:t>Provides for disaster preparedness and emergency management measures.</w:t>
            </w:r>
          </w:p>
        </w:tc>
      </w:tr>
      <w:tr w:rsidR="00554F7A" w14:paraId="015C8711" w14:textId="77777777" w:rsidTr="00456455">
        <w:tc>
          <w:tcPr>
            <w:tcW w:w="1795" w:type="dxa"/>
          </w:tcPr>
          <w:p w14:paraId="36C7C6AF" w14:textId="77777777" w:rsidR="00554F7A" w:rsidRDefault="00554F7A" w:rsidP="00C961AA">
            <w:pPr>
              <w:jc w:val="both"/>
            </w:pPr>
            <w:r>
              <w:t>Saint Lucia</w:t>
            </w:r>
          </w:p>
        </w:tc>
        <w:tc>
          <w:tcPr>
            <w:tcW w:w="2970" w:type="dxa"/>
          </w:tcPr>
          <w:p w14:paraId="291DF67A" w14:textId="77777777" w:rsidR="00554F7A" w:rsidRDefault="00554F7A" w:rsidP="00C961AA">
            <w:pPr>
              <w:jc w:val="both"/>
            </w:pPr>
            <w:r w:rsidRPr="00DA5C60">
              <w:t xml:space="preserve">Public Health (Communicable and Notifiable Diseases) Regulations </w:t>
            </w:r>
            <w:r>
              <w:t>(</w:t>
            </w:r>
            <w:r w:rsidRPr="00DA5C60">
              <w:t>1978</w:t>
            </w:r>
            <w:r>
              <w:t>; amended)</w:t>
            </w:r>
          </w:p>
        </w:tc>
        <w:tc>
          <w:tcPr>
            <w:tcW w:w="4585" w:type="dxa"/>
          </w:tcPr>
          <w:p w14:paraId="7D85640F" w14:textId="77777777" w:rsidR="00554F7A" w:rsidRDefault="00554F7A" w:rsidP="00C961AA">
            <w:pPr>
              <w:jc w:val="both"/>
            </w:pPr>
            <w:r>
              <w:t>Provides a list of communicable diseases that must be notified to the competent authorities under the Public Health Act.</w:t>
            </w:r>
          </w:p>
        </w:tc>
      </w:tr>
      <w:tr w:rsidR="00554F7A" w14:paraId="1827D177" w14:textId="77777777" w:rsidTr="00456455">
        <w:tc>
          <w:tcPr>
            <w:tcW w:w="1795" w:type="dxa"/>
          </w:tcPr>
          <w:p w14:paraId="55B65524" w14:textId="77777777" w:rsidR="00554F7A" w:rsidRDefault="00554F7A" w:rsidP="00C961AA">
            <w:pPr>
              <w:jc w:val="both"/>
            </w:pPr>
            <w:r>
              <w:t>Saint Lucia</w:t>
            </w:r>
          </w:p>
        </w:tc>
        <w:tc>
          <w:tcPr>
            <w:tcW w:w="2970" w:type="dxa"/>
          </w:tcPr>
          <w:p w14:paraId="4EED283C" w14:textId="77777777" w:rsidR="00554F7A" w:rsidRDefault="00554F7A" w:rsidP="00C961AA">
            <w:pPr>
              <w:jc w:val="both"/>
            </w:pPr>
            <w:r>
              <w:t>Public Health Act (1975)</w:t>
            </w:r>
          </w:p>
        </w:tc>
        <w:tc>
          <w:tcPr>
            <w:tcW w:w="4585" w:type="dxa"/>
          </w:tcPr>
          <w:p w14:paraId="7B2D6926" w14:textId="77777777" w:rsidR="00554F7A" w:rsidRDefault="00554F7A" w:rsidP="00C961AA">
            <w:pPr>
              <w:jc w:val="both"/>
            </w:pPr>
            <w:r>
              <w:t>Consolidates regulations for public health, including on</w:t>
            </w:r>
            <w:r w:rsidRPr="00DA5C60">
              <w:t xml:space="preserve"> the prevention, treatment, limitation and suppression of disease</w:t>
            </w:r>
            <w:r>
              <w:t>.</w:t>
            </w:r>
          </w:p>
        </w:tc>
      </w:tr>
    </w:tbl>
    <w:p w14:paraId="49BE6944" w14:textId="77777777" w:rsidR="00554F7A" w:rsidRPr="00554F7A" w:rsidRDefault="00554F7A" w:rsidP="00C961AA">
      <w:pPr>
        <w:spacing w:after="0"/>
        <w:jc w:val="both"/>
        <w:rPr>
          <w:rFonts w:cstheme="minorHAnsi"/>
        </w:rPr>
      </w:pPr>
    </w:p>
    <w:p w14:paraId="1987A322" w14:textId="77777777" w:rsidR="00F06082" w:rsidRPr="00531305" w:rsidRDefault="00F06082" w:rsidP="00C961AA">
      <w:pPr>
        <w:pStyle w:val="ListParagraph"/>
        <w:spacing w:after="0"/>
        <w:ind w:left="360"/>
        <w:jc w:val="both"/>
        <w:rPr>
          <w:rFonts w:cstheme="minorHAnsi"/>
        </w:rPr>
      </w:pPr>
    </w:p>
    <w:p w14:paraId="6483A3AE" w14:textId="385C9312" w:rsidR="00F06082" w:rsidRPr="00554F7A" w:rsidRDefault="00F06082" w:rsidP="00C961AA">
      <w:pPr>
        <w:pStyle w:val="Heading1"/>
        <w:jc w:val="both"/>
        <w:rPr>
          <w:rFonts w:cstheme="minorBidi"/>
        </w:rPr>
      </w:pPr>
      <w:r w:rsidRPr="00554F7A">
        <w:rPr>
          <w:rFonts w:cstheme="minorHAnsi"/>
          <w:bCs/>
          <w:u w:val="single"/>
        </w:rPr>
        <w:t>Measures to avoid risk of COVID-19</w:t>
      </w:r>
      <w:r w:rsidRPr="00554F7A">
        <w:rPr>
          <w:rFonts w:cstheme="minorHAnsi"/>
          <w:bCs/>
        </w:rPr>
        <w:t>:</w:t>
      </w:r>
      <w:r w:rsidRPr="00554F7A">
        <w:rPr>
          <w:rFonts w:cstheme="minorHAnsi"/>
        </w:rPr>
        <w:t xml:space="preserve"> </w:t>
      </w:r>
    </w:p>
    <w:p w14:paraId="44B89203" w14:textId="77777777" w:rsidR="00D65414" w:rsidRDefault="00D65414" w:rsidP="00C961AA">
      <w:pPr>
        <w:jc w:val="both"/>
      </w:pPr>
      <w:r>
        <w:t xml:space="preserve">The Project will also adhere to international guidelines related to Covid-19. These include: </w:t>
      </w:r>
    </w:p>
    <w:p w14:paraId="77C65E58" w14:textId="77777777" w:rsidR="00D65414" w:rsidRPr="006378AF" w:rsidRDefault="00386BFD" w:rsidP="00C961AA">
      <w:pPr>
        <w:pStyle w:val="ListParagraph"/>
        <w:numPr>
          <w:ilvl w:val="0"/>
          <w:numId w:val="8"/>
        </w:numPr>
        <w:spacing w:after="200" w:line="276" w:lineRule="auto"/>
        <w:jc w:val="both"/>
      </w:pPr>
      <w:hyperlink r:id="rId8" w:history="1">
        <w:r w:rsidR="00D65414" w:rsidRPr="006378AF">
          <w:rPr>
            <w:rStyle w:val="Hyperlink"/>
          </w:rPr>
          <w:t>ILO Occupational Safety and Health Convention, 1981 (No. 155)</w:t>
        </w:r>
      </w:hyperlink>
    </w:p>
    <w:p w14:paraId="101E4D55" w14:textId="77777777" w:rsidR="00D65414" w:rsidRPr="006378AF" w:rsidRDefault="00386BFD" w:rsidP="00C961AA">
      <w:pPr>
        <w:pStyle w:val="ListParagraph"/>
        <w:numPr>
          <w:ilvl w:val="0"/>
          <w:numId w:val="8"/>
        </w:numPr>
        <w:spacing w:after="200" w:line="276" w:lineRule="auto"/>
        <w:jc w:val="both"/>
        <w:rPr>
          <w:rStyle w:val="Hyperlink"/>
        </w:rPr>
      </w:pPr>
      <w:hyperlink r:id="rId9" w:history="1">
        <w:r w:rsidR="00D65414" w:rsidRPr="006378AF">
          <w:rPr>
            <w:rStyle w:val="Hyperlink"/>
          </w:rPr>
          <w:t>ILO Occupational Health Services Convention, 1985 (No. 161)</w:t>
        </w:r>
      </w:hyperlink>
    </w:p>
    <w:p w14:paraId="758976FD" w14:textId="77777777" w:rsidR="00D65414" w:rsidRPr="006378AF" w:rsidRDefault="00386BFD" w:rsidP="00C961AA">
      <w:pPr>
        <w:pStyle w:val="ListParagraph"/>
        <w:numPr>
          <w:ilvl w:val="0"/>
          <w:numId w:val="8"/>
        </w:numPr>
        <w:spacing w:after="200" w:line="276" w:lineRule="auto"/>
        <w:jc w:val="both"/>
      </w:pPr>
      <w:hyperlink r:id="rId10" w:history="1">
        <w:r w:rsidR="00D65414" w:rsidRPr="006378AF">
          <w:rPr>
            <w:rStyle w:val="Hyperlink"/>
          </w:rPr>
          <w:t>WHO International Health Regulations, 2005</w:t>
        </w:r>
      </w:hyperlink>
    </w:p>
    <w:p w14:paraId="35A6C232" w14:textId="77777777" w:rsidR="00D65414" w:rsidRPr="006378AF" w:rsidRDefault="00386BFD" w:rsidP="00C961AA">
      <w:pPr>
        <w:pStyle w:val="ListParagraph"/>
        <w:numPr>
          <w:ilvl w:val="0"/>
          <w:numId w:val="8"/>
        </w:numPr>
        <w:spacing w:after="200" w:line="276" w:lineRule="auto"/>
        <w:jc w:val="both"/>
        <w:rPr>
          <w:rStyle w:val="Hyperlink"/>
        </w:rPr>
      </w:pPr>
      <w:hyperlink r:id="rId11" w:history="1">
        <w:r w:rsidR="00D65414" w:rsidRPr="006378AF">
          <w:rPr>
            <w:rStyle w:val="Hyperlink"/>
          </w:rPr>
          <w:t>WHO Emergency Response Framework</w:t>
        </w:r>
      </w:hyperlink>
      <w:r w:rsidR="00D65414" w:rsidRPr="006378AF">
        <w:rPr>
          <w:rStyle w:val="Hyperlink"/>
        </w:rPr>
        <w:t>, 2017</w:t>
      </w:r>
    </w:p>
    <w:p w14:paraId="5974BC6C" w14:textId="469AAC0D" w:rsidR="00D65414" w:rsidRDefault="00D65414" w:rsidP="00C961AA">
      <w:pPr>
        <w:spacing w:after="0"/>
        <w:jc w:val="both"/>
      </w:pPr>
      <w:r w:rsidRPr="006378AF">
        <w:t xml:space="preserve">The project will also ensure that adherence is made to the WHO’s specific guidelines on Covid-19, along with the World Bank’s guidance note, “Covid-19 Considerations in Construction/ Civil Works Projects”. </w:t>
      </w:r>
    </w:p>
    <w:p w14:paraId="36C736A8" w14:textId="13888CE5" w:rsidR="00D65414" w:rsidRDefault="00D65414" w:rsidP="00C961AA">
      <w:pPr>
        <w:spacing w:after="0"/>
        <w:jc w:val="both"/>
      </w:pPr>
    </w:p>
    <w:p w14:paraId="133345F4" w14:textId="77777777" w:rsidR="00D65414" w:rsidRDefault="00D65414" w:rsidP="00C961AA">
      <w:pPr>
        <w:jc w:val="both"/>
      </w:pPr>
      <w:r>
        <w:t>The project will ensure the following:</w:t>
      </w:r>
    </w:p>
    <w:p w14:paraId="310F6B26" w14:textId="6D97E339" w:rsidR="00D65414" w:rsidRDefault="00D65414" w:rsidP="00C961AA">
      <w:pPr>
        <w:pStyle w:val="ListParagraph"/>
        <w:numPr>
          <w:ilvl w:val="0"/>
          <w:numId w:val="9"/>
        </w:numPr>
        <w:spacing w:after="200" w:line="276" w:lineRule="auto"/>
        <w:jc w:val="both"/>
      </w:pPr>
      <w:r>
        <w:t>Occupational health and safety (OHS) training will include training for project workers on hygiene and other preventative measures.</w:t>
      </w:r>
    </w:p>
    <w:p w14:paraId="378E4B8D" w14:textId="77777777" w:rsidR="00D65414" w:rsidRDefault="00D65414" w:rsidP="00C961AA">
      <w:pPr>
        <w:pStyle w:val="ListParagraph"/>
        <w:numPr>
          <w:ilvl w:val="0"/>
          <w:numId w:val="9"/>
        </w:numPr>
        <w:spacing w:after="200" w:line="276" w:lineRule="auto"/>
        <w:jc w:val="both"/>
      </w:pPr>
      <w:r>
        <w:t>A communications strategy for regular updates on Covid-19 related issues and status of any workers that may be affected by the illness.</w:t>
      </w:r>
    </w:p>
    <w:p w14:paraId="68F52348" w14:textId="77777777" w:rsidR="00D65414" w:rsidRDefault="00D65414" w:rsidP="00C961AA">
      <w:pPr>
        <w:pStyle w:val="ListParagraph"/>
        <w:numPr>
          <w:ilvl w:val="0"/>
          <w:numId w:val="9"/>
        </w:numPr>
        <w:spacing w:after="200" w:line="276" w:lineRule="auto"/>
        <w:jc w:val="both"/>
      </w:pPr>
      <w:r>
        <w:t xml:space="preserve">Virtual sessions, including with project communities, will be conducted where viable. </w:t>
      </w:r>
    </w:p>
    <w:p w14:paraId="1F5770CD" w14:textId="77777777" w:rsidR="00D65414" w:rsidRDefault="00D65414" w:rsidP="00C961AA">
      <w:pPr>
        <w:pStyle w:val="ListParagraph"/>
        <w:numPr>
          <w:ilvl w:val="0"/>
          <w:numId w:val="9"/>
        </w:numPr>
        <w:spacing w:after="200" w:line="276" w:lineRule="auto"/>
        <w:jc w:val="both"/>
      </w:pPr>
      <w:r>
        <w:t>Where virtual sessions are not viable and sessions must be held in person, the project will ensure that proper Covid-19 protocols will be adhered (refer to the bank’s guidance note as well as WHO’s guidance).</w:t>
      </w:r>
    </w:p>
    <w:p w14:paraId="788F34AC" w14:textId="77777777" w:rsidR="00D65414" w:rsidRDefault="00D65414" w:rsidP="00C961AA">
      <w:pPr>
        <w:pStyle w:val="ListParagraph"/>
        <w:numPr>
          <w:ilvl w:val="0"/>
          <w:numId w:val="9"/>
        </w:numPr>
        <w:spacing w:after="200" w:line="276" w:lineRule="auto"/>
        <w:jc w:val="both"/>
      </w:pPr>
      <w:r>
        <w:t>Project workers will be provided with the adequate PPE required to safely carry out their duties.</w:t>
      </w:r>
    </w:p>
    <w:p w14:paraId="28E4A046" w14:textId="77777777" w:rsidR="00D65414" w:rsidRPr="002C09B9" w:rsidRDefault="00D65414" w:rsidP="00C961AA">
      <w:pPr>
        <w:pStyle w:val="ListParagraph"/>
        <w:numPr>
          <w:ilvl w:val="0"/>
          <w:numId w:val="9"/>
        </w:numPr>
        <w:spacing w:after="200" w:line="276" w:lineRule="auto"/>
        <w:jc w:val="both"/>
      </w:pPr>
      <w:r>
        <w:t xml:space="preserve">A protocol will be developed in the event any project worker contracts Covid-19. </w:t>
      </w:r>
    </w:p>
    <w:p w14:paraId="7891FA11" w14:textId="77777777" w:rsidR="00D65414" w:rsidRDefault="00D65414" w:rsidP="00C961AA">
      <w:pPr>
        <w:spacing w:after="0"/>
        <w:jc w:val="both"/>
      </w:pPr>
    </w:p>
    <w:p w14:paraId="5282E225" w14:textId="77777777" w:rsidR="00554F7A" w:rsidRDefault="00554F7A" w:rsidP="00C961AA">
      <w:pPr>
        <w:spacing w:after="0"/>
        <w:jc w:val="both"/>
      </w:pPr>
    </w:p>
    <w:p w14:paraId="2FEDD7EA" w14:textId="77777777" w:rsidR="00D65414" w:rsidRPr="00D65414" w:rsidRDefault="00F06082" w:rsidP="00C961AA">
      <w:pPr>
        <w:pStyle w:val="Heading1"/>
        <w:jc w:val="both"/>
        <w:rPr>
          <w:b w:val="0"/>
        </w:rPr>
      </w:pPr>
      <w:r w:rsidRPr="00531305">
        <w:rPr>
          <w:bCs/>
          <w:u w:val="single"/>
        </w:rPr>
        <w:t>Emergency preparedness and response plan</w:t>
      </w:r>
      <w:r w:rsidRPr="00531305">
        <w:rPr>
          <w:bCs/>
        </w:rPr>
        <w:t xml:space="preserve">: </w:t>
      </w:r>
    </w:p>
    <w:p w14:paraId="292B3B48" w14:textId="79381EB9" w:rsidR="00F06082" w:rsidRDefault="00D65414" w:rsidP="00C961AA">
      <w:pPr>
        <w:pStyle w:val="ListParagraph"/>
        <w:spacing w:after="0"/>
        <w:ind w:left="360"/>
        <w:jc w:val="both"/>
      </w:pPr>
      <w:r>
        <w:t xml:space="preserve">The CSAT will follow the RIT’s </w:t>
      </w:r>
      <w:r w:rsidRPr="00F4444A">
        <w:t>Emergency Preparedness Plan</w:t>
      </w:r>
      <w:r>
        <w:t xml:space="preserve"> </w:t>
      </w:r>
      <w:r w:rsidRPr="00F4444A">
        <w:t xml:space="preserve">to guide </w:t>
      </w:r>
      <w:r>
        <w:t xml:space="preserve">its </w:t>
      </w:r>
      <w:r w:rsidRPr="00F4444A">
        <w:t>work in response to emergency events</w:t>
      </w:r>
      <w:r>
        <w:t>,</w:t>
      </w:r>
      <w:r w:rsidRPr="00F4444A">
        <w:t xml:space="preserve"> including hurricanes, earthquakes, other natural disasters</w:t>
      </w:r>
      <w:r>
        <w:t>,</w:t>
      </w:r>
      <w:r w:rsidRPr="00F4444A">
        <w:t xml:space="preserve"> as well as COVID-19 and other infectious diseases. </w:t>
      </w:r>
      <w:r>
        <w:t xml:space="preserve">The CSAT will be guided by these </w:t>
      </w:r>
      <w:r w:rsidRPr="004C3693">
        <w:t>plans.</w:t>
      </w:r>
    </w:p>
    <w:p w14:paraId="7A8DF04D" w14:textId="77777777" w:rsidR="00F06082" w:rsidRDefault="00F06082" w:rsidP="00C961AA">
      <w:pPr>
        <w:pStyle w:val="ListParagraph"/>
        <w:jc w:val="both"/>
      </w:pPr>
    </w:p>
    <w:p w14:paraId="3248AE30" w14:textId="60320EB9" w:rsidR="00F06082" w:rsidRPr="00D65414" w:rsidRDefault="00F06082" w:rsidP="00C961AA">
      <w:pPr>
        <w:pStyle w:val="Heading1"/>
        <w:jc w:val="both"/>
        <w:rPr>
          <w:b w:val="0"/>
        </w:rPr>
      </w:pPr>
      <w:r w:rsidRPr="00531305">
        <w:rPr>
          <w:bCs/>
          <w:u w:val="single"/>
        </w:rPr>
        <w:t>Measures to mitigate risks relating to security personnel</w:t>
      </w:r>
      <w:r w:rsidRPr="00531305">
        <w:rPr>
          <w:bCs/>
        </w:rPr>
        <w:t xml:space="preserve">: </w:t>
      </w:r>
    </w:p>
    <w:p w14:paraId="6F9C7C5C" w14:textId="77777777" w:rsidR="00D65414" w:rsidRPr="004C3693" w:rsidRDefault="00D65414" w:rsidP="00C961AA">
      <w:pPr>
        <w:pStyle w:val="ListParagraph"/>
        <w:spacing w:after="0"/>
        <w:ind w:left="360"/>
        <w:jc w:val="both"/>
      </w:pPr>
      <w:r w:rsidRPr="004C3693">
        <w:t xml:space="preserve">Not applicable. </w:t>
      </w:r>
    </w:p>
    <w:p w14:paraId="7B6BBF72" w14:textId="77777777" w:rsidR="00D65414" w:rsidRDefault="00D65414" w:rsidP="00C961AA">
      <w:pPr>
        <w:pStyle w:val="ListParagraph"/>
        <w:spacing w:after="0"/>
        <w:ind w:left="360"/>
        <w:jc w:val="both"/>
      </w:pPr>
    </w:p>
    <w:p w14:paraId="5EF5A492" w14:textId="13027D4A" w:rsidR="00F06082" w:rsidRDefault="00F06082" w:rsidP="00C961AA">
      <w:pPr>
        <w:pStyle w:val="Heading1"/>
        <w:jc w:val="both"/>
        <w:rPr>
          <w:rFonts w:cstheme="minorHAnsi"/>
        </w:rPr>
      </w:pPr>
      <w:r w:rsidRPr="00D65414">
        <w:rPr>
          <w:rFonts w:cstheme="minorHAnsi"/>
          <w:u w:val="single"/>
        </w:rPr>
        <w:t>Timeline and resources</w:t>
      </w:r>
      <w:r w:rsidRPr="00D65414">
        <w:rPr>
          <w:rFonts w:cstheme="minorHAnsi"/>
        </w:rPr>
        <w:t xml:space="preserve">: </w:t>
      </w:r>
    </w:p>
    <w:p w14:paraId="618D4710" w14:textId="096F648D" w:rsidR="00D65414" w:rsidRPr="00D65414" w:rsidRDefault="00D65414" w:rsidP="00C961AA">
      <w:pPr>
        <w:pStyle w:val="ListParagraph"/>
        <w:spacing w:after="0"/>
        <w:ind w:left="360"/>
        <w:jc w:val="both"/>
        <w:rPr>
          <w:rFonts w:cstheme="minorHAnsi"/>
        </w:rPr>
      </w:pPr>
      <w:r w:rsidRPr="00D65414">
        <w:rPr>
          <w:rFonts w:cstheme="minorHAnsi"/>
        </w:rPr>
        <w:t xml:space="preserve">The implementation of mitigation measures will be throughout the entire timeframe of the </w:t>
      </w:r>
      <w:r>
        <w:rPr>
          <w:rFonts w:cstheme="minorHAnsi"/>
        </w:rPr>
        <w:t>CSAT</w:t>
      </w:r>
      <w:r w:rsidRPr="00D65414">
        <w:rPr>
          <w:rFonts w:cstheme="minorHAnsi"/>
        </w:rPr>
        <w:t xml:space="preserve"> project. </w:t>
      </w:r>
    </w:p>
    <w:p w14:paraId="10B74FEE" w14:textId="77777777" w:rsidR="00F06082" w:rsidRPr="00182C8B" w:rsidRDefault="00F06082" w:rsidP="00C961AA">
      <w:pPr>
        <w:pStyle w:val="ListParagraph"/>
        <w:jc w:val="both"/>
        <w:rPr>
          <w:rFonts w:cstheme="minorHAnsi"/>
        </w:rPr>
      </w:pPr>
    </w:p>
    <w:p w14:paraId="63821D99" w14:textId="0F2A46BA" w:rsidR="00F06082" w:rsidRPr="00D65414" w:rsidRDefault="00F06082" w:rsidP="00C961AA">
      <w:pPr>
        <w:pStyle w:val="Heading1"/>
        <w:jc w:val="both"/>
        <w:rPr>
          <w:rFonts w:cstheme="minorHAnsi"/>
          <w:bCs/>
          <w:iCs/>
        </w:rPr>
      </w:pPr>
      <w:r w:rsidRPr="00E34655">
        <w:rPr>
          <w:rFonts w:cstheme="minorHAnsi"/>
          <w:u w:val="single"/>
        </w:rPr>
        <w:t>Monitoring arrangements</w:t>
      </w:r>
      <w:r w:rsidRPr="00E34655">
        <w:rPr>
          <w:rFonts w:cstheme="minorHAnsi"/>
        </w:rPr>
        <w:t>:</w:t>
      </w:r>
      <w:r>
        <w:rPr>
          <w:rFonts w:cstheme="minorHAnsi"/>
        </w:rPr>
        <w:t xml:space="preserve"> </w:t>
      </w:r>
    </w:p>
    <w:p w14:paraId="54CAEE8F" w14:textId="04D4C14D" w:rsidR="00D65414" w:rsidRPr="00D65414" w:rsidRDefault="00D65414" w:rsidP="00C961AA">
      <w:pPr>
        <w:pStyle w:val="ListParagraph"/>
        <w:spacing w:after="0"/>
        <w:ind w:left="360"/>
        <w:jc w:val="both"/>
        <w:rPr>
          <w:rFonts w:cstheme="minorHAnsi"/>
        </w:rPr>
      </w:pPr>
      <w:r w:rsidRPr="00D65414">
        <w:rPr>
          <w:rFonts w:cstheme="minorHAnsi"/>
        </w:rPr>
        <w:t xml:space="preserve">The </w:t>
      </w:r>
      <w:r>
        <w:rPr>
          <w:rFonts w:cstheme="minorHAnsi"/>
        </w:rPr>
        <w:t>CSAT</w:t>
      </w:r>
      <w:r w:rsidRPr="00D65414">
        <w:rPr>
          <w:rFonts w:cstheme="minorHAnsi"/>
        </w:rPr>
        <w:t xml:space="preserve"> will monitor and evaluate the effectiveness of the measures listed above through regular communication and coordination with all its staff, consultants, the CEPF Secretariat</w:t>
      </w:r>
      <w:r>
        <w:rPr>
          <w:rFonts w:cstheme="minorHAnsi"/>
        </w:rPr>
        <w:t>, GPSA, the RIT,</w:t>
      </w:r>
      <w:r w:rsidRPr="00D65414">
        <w:rPr>
          <w:rFonts w:cstheme="minorHAnsi"/>
        </w:rPr>
        <w:t xml:space="preserve"> and key project stakeholders such as </w:t>
      </w:r>
      <w:r w:rsidR="00EE7F5C">
        <w:rPr>
          <w:rFonts w:cstheme="minorHAnsi"/>
        </w:rPr>
        <w:t>CSOs</w:t>
      </w:r>
      <w:r w:rsidRPr="00D65414">
        <w:rPr>
          <w:rFonts w:cstheme="minorHAnsi"/>
        </w:rPr>
        <w:t xml:space="preserve">, </w:t>
      </w:r>
      <w:r>
        <w:rPr>
          <w:rFonts w:cstheme="minorHAnsi"/>
        </w:rPr>
        <w:t xml:space="preserve">PSIs, </w:t>
      </w:r>
      <w:r w:rsidRPr="00D65414">
        <w:rPr>
          <w:rFonts w:cstheme="minorHAnsi"/>
        </w:rPr>
        <w:t xml:space="preserve">and other in-country partners. The </w:t>
      </w:r>
      <w:r>
        <w:rPr>
          <w:rFonts w:cstheme="minorHAnsi"/>
        </w:rPr>
        <w:t>CSAT</w:t>
      </w:r>
      <w:r w:rsidRPr="00D65414">
        <w:rPr>
          <w:rFonts w:cstheme="minorHAnsi"/>
        </w:rPr>
        <w:t xml:space="preserve"> will report on its efforts and results in bi-annual reports to the CEPF Secretariat as well as in bi-annual supervision missions.</w:t>
      </w:r>
    </w:p>
    <w:p w14:paraId="11B66302" w14:textId="77777777" w:rsidR="00F06082" w:rsidRPr="003854D7" w:rsidRDefault="00F06082" w:rsidP="00C961AA">
      <w:pPr>
        <w:jc w:val="both"/>
        <w:rPr>
          <w:rFonts w:cstheme="minorHAnsi"/>
          <w:bCs/>
          <w:iCs/>
        </w:rPr>
      </w:pPr>
    </w:p>
    <w:p w14:paraId="4A552D8C" w14:textId="77777777" w:rsidR="00EC3FA6" w:rsidRPr="00EC3FA6" w:rsidRDefault="00F06082" w:rsidP="00C961AA">
      <w:pPr>
        <w:pStyle w:val="Heading1"/>
        <w:spacing w:before="0"/>
        <w:jc w:val="both"/>
        <w:rPr>
          <w:rFonts w:cstheme="minorHAnsi"/>
          <w:bCs/>
          <w:iCs/>
        </w:rPr>
      </w:pPr>
      <w:r w:rsidRPr="00EC3FA6">
        <w:rPr>
          <w:rFonts w:cstheme="minorHAnsi"/>
          <w:u w:val="single"/>
        </w:rPr>
        <w:t>Disclosure</w:t>
      </w:r>
      <w:r w:rsidRPr="00EC3FA6">
        <w:rPr>
          <w:rFonts w:cstheme="minorHAnsi"/>
        </w:rPr>
        <w:t xml:space="preserve">: </w:t>
      </w:r>
    </w:p>
    <w:p w14:paraId="0A3DDD4E" w14:textId="5BB49D7E" w:rsidR="00EC3FA6" w:rsidRPr="00EC3FA6" w:rsidRDefault="00EC3FA6" w:rsidP="00C961AA">
      <w:pPr>
        <w:pStyle w:val="Heading1"/>
        <w:numPr>
          <w:ilvl w:val="0"/>
          <w:numId w:val="0"/>
        </w:numPr>
        <w:spacing w:before="0"/>
        <w:ind w:left="360"/>
        <w:jc w:val="both"/>
        <w:rPr>
          <w:rFonts w:cstheme="minorHAnsi"/>
          <w:b w:val="0"/>
          <w:bCs/>
          <w:iCs/>
        </w:rPr>
      </w:pPr>
      <w:r w:rsidRPr="00EC3FA6">
        <w:rPr>
          <w:rFonts w:cstheme="minorHAnsi"/>
          <w:b w:val="0"/>
          <w:bCs/>
        </w:rPr>
        <w:t xml:space="preserve">This plan will be publicly available on </w:t>
      </w:r>
      <w:r>
        <w:rPr>
          <w:rFonts w:cstheme="minorHAnsi"/>
          <w:b w:val="0"/>
          <w:bCs/>
        </w:rPr>
        <w:t>INTEC’s</w:t>
      </w:r>
      <w:r w:rsidRPr="00EC3FA6">
        <w:rPr>
          <w:rFonts w:cstheme="minorHAnsi"/>
          <w:b w:val="0"/>
          <w:bCs/>
        </w:rPr>
        <w:t xml:space="preserve"> website and specific measures and steps within the plan will be communicated to stakeholders as needed (i.e.</w:t>
      </w:r>
      <w:r>
        <w:rPr>
          <w:rFonts w:cstheme="minorHAnsi"/>
          <w:b w:val="0"/>
          <w:bCs/>
        </w:rPr>
        <w:t>,</w:t>
      </w:r>
      <w:r w:rsidRPr="00EC3FA6">
        <w:rPr>
          <w:rFonts w:cstheme="minorHAnsi"/>
          <w:b w:val="0"/>
          <w:bCs/>
        </w:rPr>
        <w:t xml:space="preserve"> in preparation of meetings, workshops, events and other in-person gatherings).</w:t>
      </w:r>
    </w:p>
    <w:p w14:paraId="68C5E061" w14:textId="77777777" w:rsidR="00EC3FA6" w:rsidRPr="00EC3FA6" w:rsidRDefault="00EC3FA6" w:rsidP="00C961AA">
      <w:pPr>
        <w:jc w:val="both"/>
      </w:pPr>
    </w:p>
    <w:p w14:paraId="4824028E" w14:textId="77777777" w:rsidR="00F06082" w:rsidRDefault="00F06082" w:rsidP="00C961AA">
      <w:pPr>
        <w:jc w:val="both"/>
      </w:pPr>
    </w:p>
    <w:p w14:paraId="00B21D86" w14:textId="77777777" w:rsidR="00214B17" w:rsidRDefault="00214B17" w:rsidP="00C961AA">
      <w:pPr>
        <w:jc w:val="both"/>
      </w:pPr>
    </w:p>
    <w:sectPr w:rsidR="00214B1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8555" w14:textId="77777777" w:rsidR="00386BFD" w:rsidRDefault="00386BFD" w:rsidP="00EC3FA6">
      <w:pPr>
        <w:spacing w:after="0" w:line="240" w:lineRule="auto"/>
      </w:pPr>
      <w:r>
        <w:separator/>
      </w:r>
    </w:p>
  </w:endnote>
  <w:endnote w:type="continuationSeparator" w:id="0">
    <w:p w14:paraId="00BB01D0" w14:textId="77777777" w:rsidR="00386BFD" w:rsidRDefault="00386BFD" w:rsidP="00EC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8C4D" w14:textId="77777777" w:rsidR="00540733" w:rsidRDefault="00540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D1C8" w14:textId="5BFF06B6" w:rsidR="00EC3FA6" w:rsidRDefault="00EC3FA6">
    <w:pPr>
      <w:pStyle w:val="Footer"/>
      <w:jc w:val="right"/>
    </w:pPr>
  </w:p>
  <w:sdt>
    <w:sdtPr>
      <w:rPr>
        <w:rFonts w:cstheme="minorHAnsi"/>
        <w:sz w:val="20"/>
        <w:szCs w:val="20"/>
      </w:rPr>
      <w:id w:val="-948849788"/>
      <w:docPartObj>
        <w:docPartGallery w:val="Page Numbers (Bottom of Page)"/>
        <w:docPartUnique/>
      </w:docPartObj>
    </w:sdtPr>
    <w:sdtEndPr>
      <w:rPr>
        <w:color w:val="7F7F7F" w:themeColor="background1" w:themeShade="7F"/>
        <w:spacing w:val="60"/>
      </w:rPr>
    </w:sdtEndPr>
    <w:sdtContent>
      <w:p w14:paraId="341B3ECA" w14:textId="5E7BEDB1" w:rsidR="00EC3FA6" w:rsidRPr="000A04D9" w:rsidRDefault="00EC3FA6" w:rsidP="00EC3FA6">
        <w:pPr>
          <w:pStyle w:val="Footer"/>
          <w:pBdr>
            <w:top w:val="single" w:sz="4" w:space="1" w:color="D9D9D9" w:themeColor="background1" w:themeShade="D9"/>
          </w:pBdr>
          <w:jc w:val="right"/>
          <w:rPr>
            <w:rFonts w:cstheme="minorHAnsi"/>
            <w:sz w:val="20"/>
            <w:szCs w:val="20"/>
          </w:rPr>
        </w:pPr>
        <w:r>
          <w:rPr>
            <w:rFonts w:cstheme="minorHAnsi"/>
            <w:sz w:val="20"/>
            <w:szCs w:val="20"/>
          </w:rPr>
          <w:t xml:space="preserve">   </w:t>
        </w:r>
        <w:r>
          <w:rPr>
            <w:rFonts w:eastAsiaTheme="majorEastAsia" w:cstheme="minorHAnsi"/>
            <w:spacing w:val="-10"/>
            <w:kern w:val="28"/>
            <w:sz w:val="20"/>
            <w:szCs w:val="20"/>
          </w:rPr>
          <w:t>Community Health and Safety</w:t>
        </w:r>
        <w:r w:rsidRPr="000A04D9">
          <w:rPr>
            <w:rFonts w:eastAsiaTheme="majorEastAsia" w:cstheme="minorHAnsi"/>
            <w:spacing w:val="-10"/>
            <w:kern w:val="28"/>
            <w:sz w:val="20"/>
            <w:szCs w:val="20"/>
          </w:rPr>
          <w:t xml:space="preserve"> Plan</w:t>
        </w:r>
        <w:r>
          <w:rPr>
            <w:rFonts w:eastAsiaTheme="majorEastAsia" w:cstheme="minorHAnsi"/>
            <w:spacing w:val="-10"/>
            <w:kern w:val="28"/>
            <w:sz w:val="20"/>
            <w:szCs w:val="20"/>
          </w:rPr>
          <w:t>: CEPF</w:t>
        </w:r>
        <w:r w:rsidRPr="000A04D9">
          <w:rPr>
            <w:rFonts w:eastAsiaTheme="majorEastAsia" w:cstheme="minorHAnsi"/>
            <w:spacing w:val="-10"/>
            <w:kern w:val="28"/>
            <w:sz w:val="20"/>
            <w:szCs w:val="20"/>
          </w:rPr>
          <w:t>— Collaborative Social Accountability Project (P1</w:t>
        </w:r>
        <w:r>
          <w:rPr>
            <w:rFonts w:eastAsiaTheme="majorEastAsia" w:cstheme="minorHAnsi"/>
            <w:spacing w:val="-10"/>
            <w:kern w:val="28"/>
            <w:sz w:val="20"/>
            <w:szCs w:val="20"/>
          </w:rPr>
          <w:t>11512</w:t>
        </w:r>
        <w:r w:rsidRPr="000A04D9">
          <w:rPr>
            <w:rFonts w:eastAsiaTheme="majorEastAsia" w:cstheme="minorHAnsi"/>
            <w:spacing w:val="-10"/>
            <w:kern w:val="28"/>
            <w:sz w:val="20"/>
            <w:szCs w:val="20"/>
          </w:rPr>
          <w:t>)</w:t>
        </w:r>
        <w:r>
          <w:rPr>
            <w:rFonts w:eastAsiaTheme="majorEastAsia" w:cstheme="minorHAnsi"/>
            <w:spacing w:val="-10"/>
            <w:kern w:val="28"/>
            <w:sz w:val="20"/>
            <w:szCs w:val="20"/>
          </w:rPr>
          <w:t xml:space="preserve">                          </w:t>
        </w:r>
        <w:r w:rsidRPr="000A04D9">
          <w:rPr>
            <w:rFonts w:cstheme="minorHAnsi"/>
            <w:sz w:val="20"/>
            <w:szCs w:val="20"/>
          </w:rPr>
          <w:fldChar w:fldCharType="begin"/>
        </w:r>
        <w:r w:rsidRPr="000A04D9">
          <w:rPr>
            <w:rFonts w:cstheme="minorHAnsi"/>
            <w:sz w:val="20"/>
            <w:szCs w:val="20"/>
          </w:rPr>
          <w:instrText xml:space="preserve"> PAGE   \* MERGEFORMAT </w:instrText>
        </w:r>
        <w:r w:rsidRPr="000A04D9">
          <w:rPr>
            <w:rFonts w:cstheme="minorHAnsi"/>
            <w:sz w:val="20"/>
            <w:szCs w:val="20"/>
          </w:rPr>
          <w:fldChar w:fldCharType="separate"/>
        </w:r>
        <w:r>
          <w:rPr>
            <w:rFonts w:cstheme="minorHAnsi"/>
            <w:sz w:val="20"/>
            <w:szCs w:val="20"/>
          </w:rPr>
          <w:t>14</w:t>
        </w:r>
        <w:r w:rsidRPr="000A04D9">
          <w:rPr>
            <w:rFonts w:cstheme="minorHAnsi"/>
            <w:noProof/>
            <w:sz w:val="20"/>
            <w:szCs w:val="20"/>
          </w:rPr>
          <w:fldChar w:fldCharType="end"/>
        </w:r>
        <w:r w:rsidRPr="000A04D9">
          <w:rPr>
            <w:rFonts w:cstheme="minorHAnsi"/>
            <w:sz w:val="20"/>
            <w:szCs w:val="20"/>
          </w:rPr>
          <w:t xml:space="preserve"> </w:t>
        </w:r>
      </w:p>
    </w:sdtContent>
  </w:sdt>
  <w:p w14:paraId="7C5A9141" w14:textId="77777777" w:rsidR="00EC3FA6" w:rsidRDefault="00EC3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64D1" w14:textId="77777777" w:rsidR="00540733" w:rsidRDefault="00540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19A8" w14:textId="77777777" w:rsidR="00386BFD" w:rsidRDefault="00386BFD" w:rsidP="00EC3FA6">
      <w:pPr>
        <w:spacing w:after="0" w:line="240" w:lineRule="auto"/>
      </w:pPr>
      <w:r>
        <w:separator/>
      </w:r>
    </w:p>
  </w:footnote>
  <w:footnote w:type="continuationSeparator" w:id="0">
    <w:p w14:paraId="1A1E84D9" w14:textId="77777777" w:rsidR="00386BFD" w:rsidRDefault="00386BFD" w:rsidP="00EC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6C63" w14:textId="77777777" w:rsidR="00540733" w:rsidRDefault="00540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34C0" w14:textId="77777777" w:rsidR="00540733" w:rsidRDefault="00540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AF8E" w14:textId="77777777" w:rsidR="00540733" w:rsidRDefault="00540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5D8"/>
    <w:multiLevelType w:val="hybridMultilevel"/>
    <w:tmpl w:val="752A4FDC"/>
    <w:lvl w:ilvl="0" w:tplc="059C7486">
      <w:start w:val="1"/>
      <w:numFmt w:val="decimal"/>
      <w:pStyle w:val="Heading1"/>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B2B2D"/>
    <w:multiLevelType w:val="hybridMultilevel"/>
    <w:tmpl w:val="044AE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DC2ADE"/>
    <w:multiLevelType w:val="hybridMultilevel"/>
    <w:tmpl w:val="9566D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9F0F0B"/>
    <w:multiLevelType w:val="hybridMultilevel"/>
    <w:tmpl w:val="9162C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5C5756"/>
    <w:multiLevelType w:val="hybridMultilevel"/>
    <w:tmpl w:val="7A3E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D2ABF"/>
    <w:multiLevelType w:val="hybridMultilevel"/>
    <w:tmpl w:val="2162E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D7326C"/>
    <w:multiLevelType w:val="hybridMultilevel"/>
    <w:tmpl w:val="2574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077A5"/>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7"/>
  </w:num>
  <w:num w:numId="2">
    <w:abstractNumId w:val="0"/>
  </w:num>
  <w:num w:numId="3">
    <w:abstractNumId w:val="0"/>
    <w:lvlOverride w:ilvl="0">
      <w:startOverride w:val="1"/>
    </w:lvlOverride>
  </w:num>
  <w:num w:numId="4">
    <w:abstractNumId w:val="6"/>
  </w:num>
  <w:num w:numId="5">
    <w:abstractNumId w:val="3"/>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82"/>
    <w:rsid w:val="000041C3"/>
    <w:rsid w:val="00084718"/>
    <w:rsid w:val="0014760A"/>
    <w:rsid w:val="00214B17"/>
    <w:rsid w:val="00351810"/>
    <w:rsid w:val="00386BFD"/>
    <w:rsid w:val="003D5D80"/>
    <w:rsid w:val="00514173"/>
    <w:rsid w:val="00540733"/>
    <w:rsid w:val="00554F7A"/>
    <w:rsid w:val="009D38C1"/>
    <w:rsid w:val="00AB66FF"/>
    <w:rsid w:val="00B93299"/>
    <w:rsid w:val="00C6494C"/>
    <w:rsid w:val="00C961AA"/>
    <w:rsid w:val="00D65414"/>
    <w:rsid w:val="00EC3FA6"/>
    <w:rsid w:val="00EE7F5C"/>
    <w:rsid w:val="00F060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850DE"/>
  <w15:chartTrackingRefBased/>
  <w15:docId w15:val="{3E8DD4A4-8D3F-4E07-B85F-8F5FA01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82"/>
    <w:rPr>
      <w:lang w:val="en-US"/>
    </w:rPr>
  </w:style>
  <w:style w:type="paragraph" w:styleId="Heading1">
    <w:name w:val="heading 1"/>
    <w:basedOn w:val="Normal"/>
    <w:next w:val="Normal"/>
    <w:link w:val="Heading1Char"/>
    <w:uiPriority w:val="9"/>
    <w:qFormat/>
    <w:rsid w:val="00084718"/>
    <w:pPr>
      <w:keepNext/>
      <w:keepLines/>
      <w:numPr>
        <w:numId w:val="2"/>
      </w:numPr>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uiPriority w:val="34"/>
    <w:qFormat/>
    <w:rsid w:val="00F06082"/>
    <w:pPr>
      <w:ind w:left="720"/>
      <w:contextualSpacing/>
    </w:p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basedOn w:val="DefaultParagraphFont"/>
    <w:link w:val="ListParagraph"/>
    <w:uiPriority w:val="34"/>
    <w:qFormat/>
    <w:rsid w:val="00F06082"/>
    <w:rPr>
      <w:lang w:val="en-US"/>
    </w:rPr>
  </w:style>
  <w:style w:type="character" w:customStyle="1" w:styleId="Heading1Char">
    <w:name w:val="Heading 1 Char"/>
    <w:basedOn w:val="DefaultParagraphFont"/>
    <w:link w:val="Heading1"/>
    <w:uiPriority w:val="9"/>
    <w:rsid w:val="00084718"/>
    <w:rPr>
      <w:rFonts w:eastAsiaTheme="majorEastAsia" w:cstheme="majorBidi"/>
      <w:b/>
      <w:szCs w:val="32"/>
      <w:lang w:val="en-US"/>
    </w:rPr>
  </w:style>
  <w:style w:type="table" w:styleId="TableGrid">
    <w:name w:val="Table Grid"/>
    <w:basedOn w:val="TableNormal"/>
    <w:uiPriority w:val="39"/>
    <w:rsid w:val="000847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6FF"/>
    <w:rPr>
      <w:color w:val="0563C1" w:themeColor="hyperlink"/>
      <w:u w:val="single"/>
    </w:rPr>
  </w:style>
  <w:style w:type="paragraph" w:styleId="Header">
    <w:name w:val="header"/>
    <w:basedOn w:val="Normal"/>
    <w:link w:val="HeaderChar"/>
    <w:uiPriority w:val="99"/>
    <w:unhideWhenUsed/>
    <w:rsid w:val="00EC3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FA6"/>
    <w:rPr>
      <w:lang w:val="en-US"/>
    </w:rPr>
  </w:style>
  <w:style w:type="paragraph" w:styleId="Footer">
    <w:name w:val="footer"/>
    <w:basedOn w:val="Normal"/>
    <w:link w:val="FooterChar"/>
    <w:uiPriority w:val="99"/>
    <w:unhideWhenUsed/>
    <w:rsid w:val="00EC3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FA6"/>
    <w:rPr>
      <w:lang w:val="en-US"/>
    </w:rPr>
  </w:style>
  <w:style w:type="character" w:styleId="CommentReference">
    <w:name w:val="annotation reference"/>
    <w:basedOn w:val="DefaultParagraphFont"/>
    <w:uiPriority w:val="99"/>
    <w:semiHidden/>
    <w:unhideWhenUsed/>
    <w:rsid w:val="00C6494C"/>
    <w:rPr>
      <w:sz w:val="16"/>
      <w:szCs w:val="16"/>
    </w:rPr>
  </w:style>
  <w:style w:type="paragraph" w:styleId="CommentText">
    <w:name w:val="annotation text"/>
    <w:basedOn w:val="Normal"/>
    <w:link w:val="CommentTextChar"/>
    <w:uiPriority w:val="99"/>
    <w:unhideWhenUsed/>
    <w:rsid w:val="00C6494C"/>
    <w:pPr>
      <w:spacing w:line="240" w:lineRule="auto"/>
    </w:pPr>
    <w:rPr>
      <w:sz w:val="20"/>
      <w:szCs w:val="20"/>
    </w:rPr>
  </w:style>
  <w:style w:type="character" w:customStyle="1" w:styleId="CommentTextChar">
    <w:name w:val="Comment Text Char"/>
    <w:basedOn w:val="DefaultParagraphFont"/>
    <w:link w:val="CommentText"/>
    <w:uiPriority w:val="99"/>
    <w:rsid w:val="00C6494C"/>
    <w:rPr>
      <w:sz w:val="20"/>
      <w:szCs w:val="20"/>
      <w:lang w:val="en-US"/>
    </w:rPr>
  </w:style>
  <w:style w:type="paragraph" w:styleId="CommentSubject">
    <w:name w:val="annotation subject"/>
    <w:basedOn w:val="CommentText"/>
    <w:next w:val="CommentText"/>
    <w:link w:val="CommentSubjectChar"/>
    <w:uiPriority w:val="99"/>
    <w:semiHidden/>
    <w:unhideWhenUsed/>
    <w:rsid w:val="00C6494C"/>
    <w:rPr>
      <w:b/>
      <w:bCs/>
    </w:rPr>
  </w:style>
  <w:style w:type="character" w:customStyle="1" w:styleId="CommentSubjectChar">
    <w:name w:val="Comment Subject Char"/>
    <w:basedOn w:val="CommentTextChar"/>
    <w:link w:val="CommentSubject"/>
    <w:uiPriority w:val="99"/>
    <w:semiHidden/>
    <w:rsid w:val="00C6494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dyn/normlex/en/f?p=NORMLEXPUB:12100:0::NO:12100:P12100_INSTRUMENT_ID:312300:N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iris/bitstream/handle/10665/258604/9789241512299-eng.pdf?sequence=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pps.who.int/iris/bitstream/handle/10665/246107/9789241580496-eng.pdf?sequence=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lo.org/dyn/normlex/en/f?p=NORMLEXPUB:12100:0::NO:12100:P12100_ILO_CODE:C16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1950</Words>
  <Characters>11116</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Grantee organization: Instituto Tecnológico de Santo Domingo (INTEC) </vt:lpstr>
      <vt:lpstr>Project components: </vt:lpstr>
      <vt:lpstr>Risks to community health and safety: </vt:lpstr>
      <vt:lpstr>Risk mitigation measures: </vt:lpstr>
      <vt:lpstr>Measures to avoid risk of COVID-19: </vt:lpstr>
      <vt:lpstr>Emergency preparedness and response plan: </vt:lpstr>
      <vt:lpstr>Measures to mitigate risks relating to security personnel: </vt:lpstr>
      <vt:lpstr>Timeline and resources: </vt:lpstr>
      <vt:lpstr>Monitoring arrangements: </vt:lpstr>
      <vt:lpstr>Disclosure: </vt:lpstr>
      <vt:lpstr>This plan will be publicly available on INTEC’s website and specific measures an</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Bird</dc:creator>
  <cp:keywords/>
  <dc:description/>
  <cp:lastModifiedBy>Indhira De Jesus</cp:lastModifiedBy>
  <cp:revision>4</cp:revision>
  <dcterms:created xsi:type="dcterms:W3CDTF">2021-07-14T18:41:00Z</dcterms:created>
  <dcterms:modified xsi:type="dcterms:W3CDTF">2021-07-16T15:28:00Z</dcterms:modified>
</cp:coreProperties>
</file>